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Criterios de aceptación</w:t>
      </w:r>
    </w:p>
    <w:p w:rsidR="00000000" w:rsidDel="00000000" w:rsidP="00000000" w:rsidRDefault="00000000" w:rsidRPr="00000000" w14:paraId="0000000A">
      <w:pPr>
        <w:jc w:val="center"/>
        <w:rPr>
          <w:sz w:val="28"/>
          <w:szCs w:val="28"/>
        </w:rPr>
      </w:pPr>
      <w:r w:rsidDel="00000000" w:rsidR="00000000" w:rsidRPr="00000000">
        <w:rPr>
          <w:b w:val="1"/>
          <w:bCs w:val="1"/>
          <w:color w:val="000000"/>
          <w:sz w:val="28"/>
          <w:szCs w:val="28"/>
          <w:rtl w:val="0"/>
        </w:rPr>
        <w:t xml:space="preserve">“</w:t>
      </w:r>
      <w:r w:rsidDel="00000000" w:rsidR="00000000" w:rsidRPr="00000000">
        <w:rPr>
          <w:rFonts w:ascii="Calibri" w:cs="Calibri" w:eastAsia="Calibri" w:hAnsi="Calibri"/>
          <w:b w:val="1"/>
          <w:bCs w:val="1"/>
          <w:color w:val="000000"/>
          <w:sz w:val="28"/>
          <w:szCs w:val="28"/>
          <w:rtl w:val="0"/>
        </w:rPr>
        <w:t xml:space="preserve">Sistema Inteligente de Gestión del Entrenamiento Canino para el SAG</w:t>
      </w:r>
      <w:r w:rsidDel="00000000" w:rsidR="00000000" w:rsidRPr="00000000">
        <w:rPr>
          <w:b w:val="1"/>
          <w:bCs w:val="1"/>
          <w:color w:val="000000"/>
          <w:sz w:val="28"/>
          <w:szCs w:val="28"/>
          <w:rtl w:val="0"/>
        </w:rPr>
        <w:t xml:space="preserve">”</w:t>
      </w: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spacing w:line="259" w:lineRule="auto"/>
        <w:jc w:val="center"/>
        <w:rPr/>
      </w:pPr>
      <w:r w:rsidDel="00000000" w:rsidR="00000000" w:rsidRPr="00000000">
        <w:rPr>
          <w:sz w:val="28"/>
          <w:szCs w:val="28"/>
          <w:rtl w:val="0"/>
        </w:rPr>
        <w:t xml:space="preserve">Equipo 2</w:t>
      </w: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jc w:val="center"/>
        <w:rPr>
          <w:sz w:val="28"/>
          <w:szCs w:val="28"/>
        </w:rPr>
      </w:pPr>
      <w:r w:rsidDel="00000000" w:rsidR="00000000" w:rsidRPr="00000000">
        <w:rPr>
          <w:rtl w:val="0"/>
        </w:rPr>
      </w:r>
    </w:p>
    <w:p w:rsidR="00000000" w:rsidDel="00000000" w:rsidP="00000000" w:rsidRDefault="00000000" w:rsidRPr="00000000" w14:paraId="00000014">
      <w:pPr>
        <w:spacing w:line="259" w:lineRule="auto"/>
        <w:jc w:val="center"/>
        <w:rPr/>
      </w:pPr>
      <w:r w:rsidDel="00000000" w:rsidR="00000000" w:rsidRPr="00000000">
        <w:rPr>
          <w:sz w:val="28"/>
          <w:szCs w:val="28"/>
          <w:rtl w:val="0"/>
        </w:rPr>
        <w:t xml:space="preserve">Docente</w:t>
      </w:r>
      <w:r w:rsidDel="00000000" w:rsidR="00000000" w:rsidRPr="00000000">
        <w:rPr>
          <w:rtl w:val="0"/>
        </w:rPr>
      </w:r>
    </w:p>
    <w:p w:rsidR="00000000" w:rsidDel="00000000" w:rsidP="00000000" w:rsidRDefault="00000000" w:rsidRPr="00000000" w14:paraId="00000015">
      <w:pPr>
        <w:jc w:val="center"/>
        <w:rPr>
          <w:rFonts w:ascii="Calibri" w:cs="Calibri" w:eastAsia="Calibri" w:hAnsi="Calibri"/>
          <w:color w:val="000000"/>
          <w:sz w:val="28"/>
          <w:szCs w:val="28"/>
        </w:rPr>
      </w:pPr>
      <w:bookmarkStart w:colFirst="0" w:colLast="0" w:name="_heading=h.usvlhm42cf0t" w:id="0"/>
      <w:bookmarkEnd w:id="0"/>
      <w:r w:rsidDel="00000000" w:rsidR="00000000" w:rsidRPr="00000000">
        <w:rPr>
          <w:rFonts w:ascii="Calibri" w:cs="Calibri" w:eastAsia="Calibri" w:hAnsi="Calibri"/>
          <w:color w:val="000000"/>
          <w:sz w:val="28"/>
          <w:szCs w:val="28"/>
          <w:rtl w:val="0"/>
        </w:rPr>
        <w:t xml:space="preserve">Mallén González González</w:t>
      </w:r>
    </w:p>
    <w:p w:rsidR="00000000" w:rsidDel="00000000" w:rsidP="00000000" w:rsidRDefault="00000000" w:rsidRPr="00000000" w14:paraId="00000016">
      <w:pPr>
        <w:jc w:val="center"/>
        <w:rPr>
          <w:sz w:val="28"/>
          <w:szCs w:val="28"/>
        </w:rPr>
      </w:pPr>
      <w:r w:rsidDel="00000000" w:rsidR="00000000" w:rsidRPr="00000000">
        <w:rPr>
          <w:rtl w:val="0"/>
        </w:rPr>
      </w:r>
    </w:p>
    <w:p w:rsidR="00000000" w:rsidDel="00000000" w:rsidP="00000000" w:rsidRDefault="00000000" w:rsidRPr="00000000" w14:paraId="00000017">
      <w:pPr>
        <w:jc w:val="center"/>
        <w:rPr>
          <w:sz w:val="28"/>
          <w:szCs w:val="28"/>
        </w:rPr>
      </w:pPr>
      <w:r w:rsidDel="00000000" w:rsidR="00000000" w:rsidRPr="00000000">
        <w:rPr>
          <w:sz w:val="28"/>
          <w:szCs w:val="28"/>
          <w:rtl w:val="0"/>
        </w:rPr>
        <w:t xml:space="preserve">Equipo alumnos</w:t>
      </w:r>
    </w:p>
    <w:p w:rsidR="00000000" w:rsidDel="00000000" w:rsidP="00000000" w:rsidRDefault="00000000" w:rsidRPr="00000000" w14:paraId="00000018">
      <w:pPr>
        <w:jc w:val="center"/>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Javier Huaiquicheo Silva</w:t>
      </w:r>
    </w:p>
    <w:p w:rsidR="00000000" w:rsidDel="00000000" w:rsidP="00000000" w:rsidRDefault="00000000" w:rsidRPr="00000000" w14:paraId="00000019">
      <w:pPr>
        <w:jc w:val="center"/>
        <w:rPr/>
      </w:pPr>
      <w:r w:rsidDel="00000000" w:rsidR="00000000" w:rsidRPr="00000000">
        <w:rPr>
          <w:rFonts w:ascii="Calibri" w:cs="Calibri" w:eastAsia="Calibri" w:hAnsi="Calibri"/>
          <w:color w:val="000000"/>
          <w:sz w:val="28"/>
          <w:szCs w:val="28"/>
          <w:rtl w:val="0"/>
        </w:rPr>
        <w:t xml:space="preserve">Guiselle Montes Rojas</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rFonts w:ascii="Calibri" w:cs="Calibri" w:eastAsia="Calibri" w:hAnsi="Calibri"/>
          <w:color w:val="000000"/>
          <w:sz w:val="28"/>
          <w:szCs w:val="28"/>
          <w:rtl w:val="0"/>
        </w:rPr>
        <w:t xml:space="preserve">Susana Lapeyre Saldías</w:t>
      </w: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sz w:val="28"/>
          <w:szCs w:val="28"/>
        </w:rPr>
      </w:pPr>
      <w:r w:rsidDel="00000000" w:rsidR="00000000" w:rsidRPr="00000000">
        <w:rPr>
          <w:rtl w:val="0"/>
        </w:rPr>
      </w:r>
    </w:p>
    <w:p w:rsidR="00000000" w:rsidDel="00000000" w:rsidP="00000000" w:rsidRDefault="00000000" w:rsidRPr="00000000" w14:paraId="0000001D">
      <w:pPr>
        <w:jc w:val="center"/>
        <w:rPr>
          <w:sz w:val="28"/>
          <w:szCs w:val="28"/>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Fonts w:ascii="Calibri" w:cs="Calibri" w:eastAsia="Calibri" w:hAnsi="Calibri"/>
          <w:b w:val="1"/>
          <w:bCs w:val="1"/>
          <w:color w:val="000000"/>
          <w:sz w:val="28"/>
          <w:szCs w:val="28"/>
          <w:rtl w:val="0"/>
        </w:rPr>
        <w:t xml:space="preserve">Duoc UC Sede San Bernardo </w:t>
      </w:r>
      <w:r w:rsidDel="00000000" w:rsidR="00000000" w:rsidRPr="00000000">
        <w:rPr>
          <w:rtl w:val="0"/>
        </w:rPr>
      </w:r>
    </w:p>
    <w:p w:rsidR="00000000" w:rsidDel="00000000" w:rsidP="00000000" w:rsidRDefault="00000000" w:rsidRPr="00000000" w14:paraId="0000001F">
      <w:pPr>
        <w:jc w:val="center"/>
        <w:rPr/>
      </w:pPr>
      <w:r w:rsidDel="00000000" w:rsidR="00000000" w:rsidRPr="00000000">
        <w:rPr>
          <w:rFonts w:ascii="Calibri" w:cs="Calibri" w:eastAsia="Calibri" w:hAnsi="Calibri"/>
          <w:color w:val="000000"/>
          <w:sz w:val="28"/>
          <w:szCs w:val="28"/>
          <w:rtl w:val="0"/>
        </w:rPr>
        <w:t xml:space="preserve">Escuela de Informática y Telecomunicaciones</w:t>
      </w:r>
      <w:r w:rsidDel="00000000" w:rsidR="00000000" w:rsidRPr="00000000">
        <w:rPr>
          <w:rtl w:val="0"/>
        </w:rPr>
      </w:r>
    </w:p>
    <w:p w:rsidR="00000000" w:rsidDel="00000000" w:rsidP="00000000" w:rsidRDefault="00000000" w:rsidRPr="00000000" w14:paraId="00000020">
      <w:pPr>
        <w:jc w:val="center"/>
        <w:rPr>
          <w:sz w:val="28"/>
          <w:szCs w:val="28"/>
        </w:rPr>
      </w:pPr>
      <w:r w:rsidDel="00000000" w:rsidR="00000000" w:rsidRPr="00000000">
        <w:rPr>
          <w:rtl w:val="0"/>
        </w:rPr>
      </w:r>
    </w:p>
    <w:p w:rsidR="00000000" w:rsidDel="00000000" w:rsidP="00000000" w:rsidRDefault="00000000" w:rsidRPr="00000000" w14:paraId="00000021">
      <w:pPr>
        <w:jc w:val="cente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jc w:val="center"/>
        <w:rPr>
          <w:sz w:val="28"/>
          <w:szCs w:val="28"/>
        </w:rPr>
      </w:pPr>
      <w:r w:rsidDel="00000000" w:rsidR="00000000" w:rsidRPr="00000000">
        <w:rPr>
          <w:rtl w:val="0"/>
        </w:rPr>
      </w:r>
    </w:p>
    <w:p w:rsidR="00000000" w:rsidDel="00000000" w:rsidP="00000000" w:rsidRDefault="00000000" w:rsidRPr="00000000" w14:paraId="00000025">
      <w:pPr>
        <w:jc w:val="center"/>
        <w:rPr>
          <w:sz w:val="28"/>
          <w:szCs w:val="28"/>
        </w:rPr>
      </w:pPr>
      <w:r w:rsidDel="00000000" w:rsidR="00000000" w:rsidRPr="00000000">
        <w:rPr>
          <w:rtl w:val="0"/>
        </w:rPr>
      </w:r>
    </w:p>
    <w:p w:rsidR="00000000" w:rsidDel="00000000" w:rsidP="00000000" w:rsidRDefault="00000000" w:rsidRPr="00000000" w14:paraId="00000026">
      <w:pPr>
        <w:jc w:val="center"/>
        <w:rPr>
          <w:sz w:val="28"/>
          <w:szCs w:val="28"/>
        </w:rPr>
      </w:pPr>
      <w:r w:rsidDel="00000000" w:rsidR="00000000" w:rsidRPr="00000000">
        <w:rPr>
          <w:sz w:val="28"/>
          <w:szCs w:val="28"/>
          <w:rtl w:val="0"/>
        </w:rPr>
        <w:t xml:space="preserve">San Bernardo, 28 de octubre de 2025</w:t>
      </w:r>
    </w:p>
    <w:p w:rsidR="00000000" w:rsidDel="00000000" w:rsidP="00000000" w:rsidRDefault="00000000" w:rsidRPr="00000000" w14:paraId="00000027">
      <w:pPr>
        <w:pStyle w:val="Subtitle"/>
        <w:rPr/>
      </w:pPr>
      <w:r w:rsidDel="00000000" w:rsidR="00000000" w:rsidRPr="00000000">
        <w:br w:type="page"/>
      </w:r>
      <w:r w:rsidDel="00000000" w:rsidR="00000000" w:rsidRPr="00000000">
        <w:rPr>
          <w:rtl w:val="0"/>
        </w:rPr>
        <w:t xml:space="preserve">Introducción</w:t>
      </w:r>
    </w:p>
    <w:p w:rsidR="00000000" w:rsidDel="00000000" w:rsidP="00000000" w:rsidRDefault="00000000" w:rsidRPr="00000000" w14:paraId="00000028">
      <w:pPr>
        <w:rPr/>
      </w:pPr>
      <w:r w:rsidDel="00000000" w:rsidR="00000000" w:rsidRPr="00000000">
        <w:rPr>
          <w:rtl w:val="0"/>
        </w:rPr>
        <w:t xml:space="preserve">El presente documento define los criterios de aceptación del proyecto SAG desde una perspectiva centrada en la experiencia de usuario (UX).</w:t>
      </w:r>
    </w:p>
    <w:p w:rsidR="00000000" w:rsidDel="00000000" w:rsidP="00000000" w:rsidRDefault="00000000" w:rsidRPr="00000000" w14:paraId="00000029">
      <w:pPr>
        <w:rPr/>
      </w:pPr>
      <w:r w:rsidDel="00000000" w:rsidR="00000000" w:rsidRPr="00000000">
        <w:rPr>
          <w:rtl w:val="0"/>
        </w:rPr>
        <w:t xml:space="preserve">El objetivo es asegurar que cada interfaz o módulo del sistema proporcione una interacción fluida, clara e intuitiva para los usuarios (entrenadores, supervisores y administradores), garantizando la eficiencia del trabajo y la satisfacción del usuario final.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 metodología Extreme Programming (XP) promueve la entrega continua de software funcional, priorizando la comunicación con el cliente, la simplicidad del diseño y la retroalimentación constante. En este contexto, la UX se considera un componente esencial de la calidad del producto.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sz w:val="28"/>
          <w:szCs w:val="28"/>
        </w:rPr>
      </w:pPr>
      <w:r w:rsidDel="00000000" w:rsidR="00000000" w:rsidRPr="00000000">
        <w:rPr>
          <w:sz w:val="28"/>
          <w:szCs w:val="28"/>
          <w:rtl w:val="0"/>
        </w:rPr>
        <w:t xml:space="preserve">Criterios de aceptación</w:t>
      </w:r>
    </w:p>
    <w:tbl>
      <w:tblPr>
        <w:tblStyle w:val="Table1"/>
        <w:tblW w:w="943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725"/>
        <w:gridCol w:w="1575"/>
        <w:gridCol w:w="1410"/>
        <w:gridCol w:w="1410"/>
        <w:gridCol w:w="1305"/>
        <w:tblGridChange w:id="0">
          <w:tblGrid>
            <w:gridCol w:w="2010"/>
            <w:gridCol w:w="1725"/>
            <w:gridCol w:w="1575"/>
            <w:gridCol w:w="1410"/>
            <w:gridCol w:w="1410"/>
            <w:gridCol w:w="1305"/>
          </w:tblGrid>
        </w:tblGridChange>
      </w:tblGrid>
      <w:tr>
        <w:trPr>
          <w:cantSplit w:val="0"/>
          <w:trHeight w:val="420" w:hRule="atLeast"/>
          <w:tblHeader w:val="0"/>
        </w:trPr>
        <w:tc>
          <w:tcPr>
            <w:gridSpan w:val="6"/>
            <w:shd w:fill="8e7cc3" w:val="clea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Criterios de Aceptación</w:t>
            </w:r>
          </w:p>
        </w:tc>
      </w:tr>
      <w:tr>
        <w:trPr>
          <w:cantSplit w:val="0"/>
          <w:trHeight w:val="797" w:hRule="atLeast"/>
          <w:tblHeader w:val="0"/>
        </w:trPr>
        <w:tc>
          <w:tcPr>
            <w:shd w:fill="d9d2e9" w:val="clear"/>
            <w:tcMar>
              <w:top w:w="100.0" w:type="dxa"/>
              <w:left w:w="100.0" w:type="dxa"/>
              <w:bottom w:w="100.0" w:type="dxa"/>
              <w:right w:w="100.0" w:type="dxa"/>
            </w:tcMar>
            <w:vAlign w:val="cente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Interfaz/Módulo</w:t>
            </w:r>
          </w:p>
        </w:tc>
        <w:tc>
          <w:tcPr>
            <w:shd w:fill="d9d2e9" w:val="clear"/>
            <w:tcMar>
              <w:top w:w="100.0" w:type="dxa"/>
              <w:left w:w="100.0" w:type="dxa"/>
              <w:bottom w:w="100.0" w:type="dxa"/>
              <w:right w:w="100.0" w:type="dxa"/>
            </w:tcMar>
            <w:vAlign w:val="cente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Funcionalidad presente</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bCs w:val="1"/>
                <w:sz w:val="24"/>
                <w:szCs w:val="24"/>
              </w:rPr>
            </w:pPr>
            <w:r w:rsidDel="00000000" w:rsidR="00000000" w:rsidRPr="00000000">
              <w:rPr>
                <w:rtl w:val="0"/>
              </w:rPr>
            </w:r>
          </w:p>
        </w:tc>
        <w:tc>
          <w:tcPr>
            <w:shd w:fill="d9d2e9" w:val="clear"/>
            <w:tcMar>
              <w:top w:w="100.0" w:type="dxa"/>
              <w:left w:w="100.0" w:type="dxa"/>
              <w:bottom w:w="100.0" w:type="dxa"/>
              <w:right w:w="100.0" w:type="dxa"/>
            </w:tcMar>
            <w:vAlign w:val="cente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Distribución clara de elementos</w:t>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bCs w:val="1"/>
                <w:sz w:val="24"/>
                <w:szCs w:val="24"/>
              </w:rPr>
            </w:pPr>
            <w:r w:rsidDel="00000000" w:rsidR="00000000" w:rsidRPr="00000000">
              <w:rPr>
                <w:rtl w:val="0"/>
              </w:rPr>
            </w:r>
          </w:p>
        </w:tc>
        <w:tc>
          <w:tcPr>
            <w:shd w:fill="d9d2e9" w:val="clear"/>
            <w:tcMar>
              <w:top w:w="100.0" w:type="dxa"/>
              <w:left w:w="100.0" w:type="dxa"/>
              <w:bottom w:w="100.0" w:type="dxa"/>
              <w:right w:w="100.0" w:type="dxa"/>
            </w:tcMar>
            <w:vAlign w:val="cente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Flujo intuitivo y navegable</w:t>
            </w:r>
          </w:p>
        </w:tc>
        <w:tc>
          <w:tcPr>
            <w:shd w:fill="d9d2e9" w:val="clear"/>
            <w:tcMar>
              <w:top w:w="100.0" w:type="dxa"/>
              <w:left w:w="100.0" w:type="dxa"/>
              <w:bottom w:w="100.0" w:type="dxa"/>
              <w:right w:w="100.0" w:type="dxa"/>
            </w:tcMar>
            <w:vAlign w:val="cente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Usabilidad</w:t>
            </w:r>
          </w:p>
        </w:tc>
        <w:tc>
          <w:tcPr>
            <w:shd w:fill="d9d2e9" w:val="clear"/>
            <w:tcMar>
              <w:top w:w="100.0" w:type="dxa"/>
              <w:left w:w="100.0" w:type="dxa"/>
              <w:bottom w:w="100.0" w:type="dxa"/>
              <w:right w:w="100.0" w:type="dxa"/>
            </w:tcMar>
            <w:vAlign w:val="cente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Resultado</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Pantalla de creación de cuentas de entrenadores</w:t>
            </w:r>
          </w:p>
        </w:tc>
        <w:tc>
          <w:tcPr>
            <w:tcMar>
              <w:top w:w="100.0" w:type="dxa"/>
              <w:left w:w="100.0" w:type="dxa"/>
              <w:bottom w:w="100.0" w:type="dxa"/>
              <w:right w:w="100.0" w:type="dxa"/>
            </w:tcMar>
            <w:vAlign w:val="cente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Permite registrar nuevos entrenadores con validación de campos obligatorios.</w:t>
            </w:r>
          </w:p>
        </w:tc>
        <w:tc>
          <w:tcPr>
            <w:tcMar>
              <w:top w:w="100.0" w:type="dxa"/>
              <w:left w:w="100.0" w:type="dxa"/>
              <w:bottom w:w="100.0" w:type="dxa"/>
              <w:right w:w="100.0" w:type="dxa"/>
            </w:tcMar>
            <w:vAlign w:val="cente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Formularios bien organizados y etiquetas visibles.</w:t>
            </w:r>
          </w:p>
        </w:tc>
        <w:tc>
          <w:tcPr>
            <w:tcMar>
              <w:top w:w="100.0" w:type="dxa"/>
              <w:left w:w="100.0" w:type="dxa"/>
              <w:bottom w:w="100.0" w:type="dxa"/>
              <w:right w:w="100.0" w:type="dxa"/>
            </w:tcMar>
            <w:vAlign w:val="cente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El flujo guía paso a paso el proceso de registro.</w:t>
            </w:r>
          </w:p>
        </w:tc>
        <w:tc>
          <w:tcPr>
            <w:tcMar>
              <w:top w:w="100.0" w:type="dxa"/>
              <w:left w:w="100.0" w:type="dxa"/>
              <w:bottom w:w="100.0" w:type="dxa"/>
              <w:right w:w="100.0" w:type="dxa"/>
            </w:tcMar>
            <w:vAlign w:val="cente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Accesible, con mensajes de error claros.</w:t>
            </w:r>
          </w:p>
        </w:tc>
        <w:tc>
          <w:tcPr>
            <w:tcMar>
              <w:top w:w="100.0" w:type="dxa"/>
              <w:left w:w="100.0" w:type="dxa"/>
              <w:bottom w:w="100.0" w:type="dxa"/>
              <w:right w:w="100.0" w:type="dxa"/>
            </w:tcMar>
            <w:vAlign w:val="cente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Registro exitoso y retroalimentación inmediata.</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Pantalla de inicio de sesión</w:t>
            </w:r>
          </w:p>
        </w:tc>
        <w:tc>
          <w:tcPr>
            <w:tcMar>
              <w:top w:w="100.0" w:type="dxa"/>
              <w:left w:w="100.0" w:type="dxa"/>
              <w:bottom w:w="100.0" w:type="dxa"/>
              <w:right w:w="100.0" w:type="dxa"/>
            </w:tcMar>
            <w:vAlign w:val="cente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Permite ingresar usuario y contraseña para acceder al sistema.</w:t>
            </w:r>
          </w:p>
        </w:tc>
        <w:tc>
          <w:tcPr>
            <w:tcMar>
              <w:top w:w="100.0" w:type="dxa"/>
              <w:left w:w="100.0" w:type="dxa"/>
              <w:bottom w:w="100.0" w:type="dxa"/>
              <w:right w:w="100.0" w:type="dxa"/>
            </w:tcMar>
            <w:vAlign w:val="cente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Elementos de rápida identificación.</w:t>
            </w:r>
          </w:p>
        </w:tc>
        <w:tc>
          <w:tcPr>
            <w:tcMar>
              <w:top w:w="100.0" w:type="dxa"/>
              <w:left w:w="100.0" w:type="dxa"/>
              <w:bottom w:w="100.0" w:type="dxa"/>
              <w:right w:w="100.0" w:type="dxa"/>
            </w:tcMar>
            <w:vAlign w:val="cente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Flujo compresible y lineal.</w:t>
            </w:r>
          </w:p>
        </w:tc>
        <w:tc>
          <w:tcPr>
            <w:tcMar>
              <w:top w:w="100.0" w:type="dxa"/>
              <w:left w:w="100.0" w:type="dxa"/>
              <w:bottom w:w="100.0" w:type="dxa"/>
              <w:right w:w="100.0" w:type="dxa"/>
            </w:tcMar>
            <w:vAlign w:val="cente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Muestra mensaje de éxito o error.</w:t>
            </w:r>
          </w:p>
        </w:tc>
        <w:tc>
          <w:tcPr>
            <w:tcMar>
              <w:top w:w="100.0" w:type="dxa"/>
              <w:left w:w="100.0" w:type="dxa"/>
              <w:bottom w:w="100.0" w:type="dxa"/>
              <w:right w:w="100.0" w:type="dxa"/>
            </w:tcMar>
            <w:vAlign w:val="cente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Acceso rápido y seguro al sistema.</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Panel de gestión de entrenadores</w:t>
            </w:r>
          </w:p>
        </w:tc>
        <w:tc>
          <w:tcPr>
            <w:tcMar>
              <w:top w:w="100.0" w:type="dxa"/>
              <w:left w:w="100.0" w:type="dxa"/>
              <w:bottom w:w="100.0" w:type="dxa"/>
              <w:right w:w="100.0" w:type="dxa"/>
            </w:tcMar>
            <w:vAlign w:val="cente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Permite visualizar, editar y eliminar entrenadores.</w:t>
            </w:r>
          </w:p>
        </w:tc>
        <w:tc>
          <w:tcPr>
            <w:tcMar>
              <w:top w:w="100.0" w:type="dxa"/>
              <w:left w:w="100.0" w:type="dxa"/>
              <w:bottom w:w="100.0" w:type="dxa"/>
              <w:right w:w="100.0" w:type="dxa"/>
            </w:tcMar>
            <w:vAlign w:val="cente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Tablas y botones bien distribuidos.</w:t>
            </w:r>
          </w:p>
        </w:tc>
        <w:tc>
          <w:tcPr>
            <w:tcMar>
              <w:top w:w="100.0" w:type="dxa"/>
              <w:left w:w="100.0" w:type="dxa"/>
              <w:bottom w:w="100.0" w:type="dxa"/>
              <w:right w:w="100.0" w:type="dxa"/>
            </w:tcMar>
            <w:vAlign w:val="cente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Navegación entre opciones sin confusión.</w:t>
            </w:r>
          </w:p>
        </w:tc>
        <w:tc>
          <w:tcPr>
            <w:tcMar>
              <w:top w:w="100.0" w:type="dxa"/>
              <w:left w:w="100.0" w:type="dxa"/>
              <w:bottom w:w="100.0" w:type="dxa"/>
              <w:right w:w="100.0" w:type="dxa"/>
            </w:tcMar>
            <w:vAlign w:val="cente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Acciones confirmadas con alertas o mensajes.</w:t>
            </w:r>
          </w:p>
        </w:tc>
        <w:tc>
          <w:tcPr>
            <w:tcMar>
              <w:top w:w="100.0" w:type="dxa"/>
              <w:left w:w="100.0" w:type="dxa"/>
              <w:bottom w:w="100.0" w:type="dxa"/>
              <w:right w:w="100.0" w:type="dxa"/>
            </w:tcMar>
            <w:vAlign w:val="cente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Administración clara y sin errores.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Perfil personal / edición de datos</w:t>
            </w:r>
          </w:p>
        </w:tc>
        <w:tc>
          <w:tcPr>
            <w:tcMar>
              <w:top w:w="100.0" w:type="dxa"/>
              <w:left w:w="100.0" w:type="dxa"/>
              <w:bottom w:w="100.0" w:type="dxa"/>
              <w:right w:w="100.0" w:type="dxa"/>
            </w:tcMar>
            <w:vAlign w:val="cente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Permite modificar información personal del usuario.</w:t>
            </w:r>
          </w:p>
        </w:tc>
        <w:tc>
          <w:tcPr>
            <w:tcMar>
              <w:top w:w="100.0" w:type="dxa"/>
              <w:left w:w="100.0" w:type="dxa"/>
              <w:bottom w:w="100.0" w:type="dxa"/>
              <w:right w:w="100.0" w:type="dxa"/>
            </w:tcMar>
            <w:vAlign w:val="cente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Campos agrupados por categoría.</w:t>
            </w:r>
          </w:p>
        </w:tc>
        <w:tc>
          <w:tcPr>
            <w:tcMar>
              <w:top w:w="100.0" w:type="dxa"/>
              <w:left w:w="100.0" w:type="dxa"/>
              <w:bottom w:w="100.0" w:type="dxa"/>
              <w:right w:w="100.0" w:type="dxa"/>
            </w:tcMar>
            <w:vAlign w:val="center"/>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Flujo coherente entre vista y edición.</w:t>
            </w:r>
          </w:p>
        </w:tc>
        <w:tc>
          <w:tcPr>
            <w:tcMar>
              <w:top w:w="100.0" w:type="dxa"/>
              <w:left w:w="100.0" w:type="dxa"/>
              <w:bottom w:w="100.0" w:type="dxa"/>
              <w:right w:w="100.0" w:type="dxa"/>
            </w:tcMar>
            <w:vAlign w:val="cente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Permite guardar o cancelar la edición del perfil.</w:t>
            </w:r>
          </w:p>
        </w:tc>
        <w:tc>
          <w:tcPr>
            <w:tcMar>
              <w:top w:w="100.0" w:type="dxa"/>
              <w:left w:w="100.0" w:type="dxa"/>
              <w:bottom w:w="100.0" w:type="dxa"/>
              <w:right w:w="100.0" w:type="dxa"/>
            </w:tcMar>
            <w:vAlign w:val="cente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Edición rápida y confirmada visualmente.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Ficha del can (vista y edición)</w:t>
            </w:r>
          </w:p>
        </w:tc>
        <w:tc>
          <w:tcPr>
            <w:tcMar>
              <w:top w:w="100.0" w:type="dxa"/>
              <w:left w:w="100.0" w:type="dxa"/>
              <w:bottom w:w="100.0" w:type="dxa"/>
              <w:right w:w="100.0" w:type="dxa"/>
            </w:tcMar>
            <w:vAlign w:val="cente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Muestra y permite editar información del can.</w:t>
            </w:r>
          </w:p>
        </w:tc>
        <w:tc>
          <w:tcPr>
            <w:tcMar>
              <w:top w:w="100.0" w:type="dxa"/>
              <w:left w:w="100.0" w:type="dxa"/>
              <w:bottom w:w="100.0" w:type="dxa"/>
              <w:right w:w="100.0" w:type="dxa"/>
            </w:tcMar>
            <w:vAlign w:val="cente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Sección de datos bien diferenciadas (información personal, entrenamientos, etc.)</w:t>
            </w:r>
          </w:p>
        </w:tc>
        <w:tc>
          <w:tcPr>
            <w:tcMar>
              <w:top w:w="100.0" w:type="dxa"/>
              <w:left w:w="100.0" w:type="dxa"/>
              <w:bottom w:w="100.0" w:type="dxa"/>
              <w:right w:w="100.0" w:type="dxa"/>
            </w:tcMar>
            <w:vAlign w:val="cente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Transición clara entre modo vista y edición.</w:t>
            </w:r>
          </w:p>
        </w:tc>
        <w:tc>
          <w:tcPr>
            <w:tcMar>
              <w:top w:w="100.0" w:type="dxa"/>
              <w:left w:w="100.0" w:type="dxa"/>
              <w:bottom w:w="100.0" w:type="dxa"/>
              <w:right w:w="100.0" w:type="dxa"/>
            </w:tcMar>
            <w:vAlign w:val="cente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Botones y formularios de fácil acceso.</w:t>
            </w:r>
          </w:p>
        </w:tc>
        <w:tc>
          <w:tcPr>
            <w:tcMar>
              <w:top w:w="100.0" w:type="dxa"/>
              <w:left w:w="100.0" w:type="dxa"/>
              <w:bottom w:w="100.0" w:type="dxa"/>
              <w:right w:w="100.0" w:type="dxa"/>
            </w:tcMar>
            <w:vAlign w:val="center"/>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Información del can actualizada correctamente.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Búsqueda de fichas de canes</w:t>
            </w:r>
          </w:p>
        </w:tc>
        <w:tc>
          <w:tcPr>
            <w:tcMar>
              <w:top w:w="100.0" w:type="dxa"/>
              <w:left w:w="100.0" w:type="dxa"/>
              <w:bottom w:w="100.0" w:type="dxa"/>
              <w:right w:w="100.0" w:type="dxa"/>
            </w:tcMar>
            <w:vAlign w:val="cente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Permite buscar fichas por nombres o códigos.</w:t>
            </w:r>
          </w:p>
        </w:tc>
        <w:tc>
          <w:tcPr>
            <w:tcMar>
              <w:top w:w="100.0" w:type="dxa"/>
              <w:left w:w="100.0" w:type="dxa"/>
              <w:bottom w:w="100.0" w:type="dxa"/>
              <w:right w:w="100.0" w:type="dxa"/>
            </w:tcMar>
            <w:vAlign w:val="cente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Barra de búsqueda visible.</w:t>
            </w:r>
          </w:p>
        </w:tc>
        <w:tc>
          <w:tcPr>
            <w:tcMar>
              <w:top w:w="100.0" w:type="dxa"/>
              <w:left w:w="100.0" w:type="dxa"/>
              <w:bottom w:w="100.0" w:type="dxa"/>
              <w:right w:w="100.0" w:type="dxa"/>
            </w:tcMar>
            <w:vAlign w:val="cente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Resultados ordenados.</w:t>
            </w:r>
          </w:p>
        </w:tc>
        <w:tc>
          <w:tcPr>
            <w:tcMar>
              <w:top w:w="100.0" w:type="dxa"/>
              <w:left w:w="100.0" w:type="dxa"/>
              <w:bottom w:w="100.0" w:type="dxa"/>
              <w:right w:w="100.0" w:type="dxa"/>
            </w:tcMar>
            <w:vAlign w:val="cente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Respuesta rápida al escribir.</w:t>
            </w:r>
          </w:p>
        </w:tc>
        <w:tc>
          <w:tcPr>
            <w:tcMar>
              <w:top w:w="100.0" w:type="dxa"/>
              <w:left w:w="100.0" w:type="dxa"/>
              <w:bottom w:w="100.0" w:type="dxa"/>
              <w:right w:w="100.0" w:type="dxa"/>
            </w:tcMar>
            <w:vAlign w:val="cente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Fichas encontradas fácilmente.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Registro de sesiones de entrenamiento</w:t>
            </w:r>
          </w:p>
        </w:tc>
        <w:tc>
          <w:tcPr>
            <w:tcMar>
              <w:top w:w="100.0" w:type="dxa"/>
              <w:left w:w="100.0" w:type="dxa"/>
              <w:bottom w:w="100.0" w:type="dxa"/>
              <w:right w:w="100.0" w:type="dxa"/>
            </w:tcMar>
            <w:vAlign w:val="cente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Permite registrar fecha, tipo y resultados de entrenamiento.</w:t>
            </w:r>
          </w:p>
        </w:tc>
        <w:tc>
          <w:tcPr>
            <w:tcMar>
              <w:top w:w="100.0" w:type="dxa"/>
              <w:left w:w="100.0" w:type="dxa"/>
              <w:bottom w:w="100.0" w:type="dxa"/>
              <w:right w:w="100.0" w:type="dxa"/>
            </w:tcMar>
            <w:vAlign w:val="cente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Campos distribuidos en orden lógico.</w:t>
            </w:r>
          </w:p>
        </w:tc>
        <w:tc>
          <w:tcPr>
            <w:tcMar>
              <w:top w:w="100.0" w:type="dxa"/>
              <w:left w:w="100.0" w:type="dxa"/>
              <w:bottom w:w="100.0" w:type="dxa"/>
              <w:right w:w="100.0" w:type="dxa"/>
            </w:tcMar>
            <w:vAlign w:val="cente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Flujo lineal y sin recargas innecesarias.</w:t>
            </w:r>
          </w:p>
        </w:tc>
        <w:tc>
          <w:tcPr>
            <w:tcMar>
              <w:top w:w="100.0" w:type="dxa"/>
              <w:left w:w="100.0" w:type="dxa"/>
              <w:bottom w:w="100.0" w:type="dxa"/>
              <w:right w:w="100.0" w:type="dxa"/>
            </w:tcMar>
            <w:vAlign w:val="cente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Feedback visual al guardar o editar.</w:t>
            </w:r>
          </w:p>
        </w:tc>
        <w:tc>
          <w:tcPr>
            <w:tcMar>
              <w:top w:w="100.0" w:type="dxa"/>
              <w:left w:w="100.0" w:type="dxa"/>
              <w:bottom w:w="100.0" w:type="dxa"/>
              <w:right w:w="100.0" w:type="dxa"/>
            </w:tcMar>
            <w:vAlign w:val="cente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Sesiones registradas sin errores.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Historial de entrenamientos</w:t>
            </w:r>
          </w:p>
        </w:tc>
        <w:tc>
          <w:tcPr>
            <w:tcMar>
              <w:top w:w="100.0" w:type="dxa"/>
              <w:left w:w="100.0" w:type="dxa"/>
              <w:bottom w:w="100.0" w:type="dxa"/>
              <w:right w:w="100.0" w:type="dxa"/>
            </w:tcMar>
            <w:vAlign w:val="cente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Permite visualizar sesiones pasadas.</w:t>
            </w:r>
          </w:p>
        </w:tc>
        <w:tc>
          <w:tcPr>
            <w:tcMar>
              <w:top w:w="100.0" w:type="dxa"/>
              <w:left w:w="100.0" w:type="dxa"/>
              <w:bottom w:w="100.0" w:type="dxa"/>
              <w:right w:w="100.0" w:type="dxa"/>
            </w:tcMar>
            <w:vAlign w:val="cente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Tabla con columnas legibles y ordenadas.</w:t>
            </w:r>
          </w:p>
        </w:tc>
        <w:tc>
          <w:tcPr>
            <w:tcMar>
              <w:top w:w="100.0" w:type="dxa"/>
              <w:left w:w="100.0" w:type="dxa"/>
              <w:bottom w:w="100.0" w:type="dxa"/>
              <w:right w:w="100.0" w:type="dxa"/>
            </w:tcMar>
            <w:vAlign w:val="center"/>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Flujo simple para recorrer registros.</w:t>
            </w:r>
          </w:p>
        </w:tc>
        <w:tc>
          <w:tcPr>
            <w:tcMar>
              <w:top w:w="100.0" w:type="dxa"/>
              <w:left w:w="100.0" w:type="dxa"/>
              <w:bottom w:w="100.0" w:type="dxa"/>
              <w:right w:w="100.0" w:type="dxa"/>
            </w:tcMar>
            <w:vAlign w:val="cente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Posibilidad de exportar o filtrar.</w:t>
            </w:r>
          </w:p>
        </w:tc>
        <w:tc>
          <w:tcPr>
            <w:tcMar>
              <w:top w:w="100.0" w:type="dxa"/>
              <w:left w:w="100.0" w:type="dxa"/>
              <w:bottom w:w="100.0" w:type="dxa"/>
              <w:right w:w="100.0" w:type="dxa"/>
            </w:tcMar>
            <w:vAlign w:val="cente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Información accesible y actualizada.</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Evaluaciones periódicas / desempeño</w:t>
            </w:r>
          </w:p>
        </w:tc>
        <w:tc>
          <w:tcPr>
            <w:tcMar>
              <w:top w:w="100.0" w:type="dxa"/>
              <w:left w:w="100.0" w:type="dxa"/>
              <w:bottom w:w="100.0" w:type="dxa"/>
              <w:right w:w="100.0" w:type="dxa"/>
            </w:tcMar>
            <w:vAlign w:val="center"/>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Permite ingresar y revisar evaluaciones de canes.</w:t>
            </w:r>
          </w:p>
        </w:tc>
        <w:tc>
          <w:tcPr>
            <w:tcMar>
              <w:top w:w="100.0" w:type="dxa"/>
              <w:left w:w="100.0" w:type="dxa"/>
              <w:bottom w:w="100.0" w:type="dxa"/>
              <w:right w:w="100.0" w:type="dxa"/>
            </w:tcMar>
            <w:vAlign w:val="center"/>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Gráficos o indicadores visibles.</w:t>
            </w:r>
          </w:p>
        </w:tc>
        <w:tc>
          <w:tcPr>
            <w:tcMar>
              <w:top w:w="100.0" w:type="dxa"/>
              <w:left w:w="100.0" w:type="dxa"/>
              <w:bottom w:w="100.0" w:type="dxa"/>
              <w:right w:w="100.0" w:type="dxa"/>
            </w:tcMar>
            <w:vAlign w:val="cente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Navegación fluida entre periodos o canes.</w:t>
            </w:r>
          </w:p>
        </w:tc>
        <w:tc>
          <w:tcPr>
            <w:tcMar>
              <w:top w:w="100.0" w:type="dxa"/>
              <w:left w:w="100.0" w:type="dxa"/>
              <w:bottom w:w="100.0" w:type="dxa"/>
              <w:right w:w="100.0" w:type="dxa"/>
            </w:tcMar>
            <w:vAlign w:val="cente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Presentación comprensible de los resultados.</w:t>
            </w:r>
          </w:p>
        </w:tc>
        <w:tc>
          <w:tcPr>
            <w:tcMar>
              <w:top w:w="100.0" w:type="dxa"/>
              <w:left w:w="100.0" w:type="dxa"/>
              <w:bottom w:w="100.0" w:type="dxa"/>
              <w:right w:w="100.0" w:type="dxa"/>
            </w:tcMar>
            <w:vAlign w:val="center"/>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Evaluaciones visibles y fáciles de interpretar.</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Reportes e informes</w:t>
            </w:r>
          </w:p>
        </w:tc>
        <w:tc>
          <w:tcPr>
            <w:tcMar>
              <w:top w:w="100.0" w:type="dxa"/>
              <w:left w:w="100.0" w:type="dxa"/>
              <w:bottom w:w="100.0" w:type="dxa"/>
              <w:right w:w="100.0" w:type="dxa"/>
            </w:tcMar>
            <w:vAlign w:val="cente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Genera reportes sobre rendimiento y actividad.</w:t>
            </w:r>
          </w:p>
        </w:tc>
        <w:tc>
          <w:tcPr>
            <w:tcMar>
              <w:top w:w="100.0" w:type="dxa"/>
              <w:left w:w="100.0" w:type="dxa"/>
              <w:bottom w:w="100.0" w:type="dxa"/>
              <w:right w:w="100.0" w:type="dxa"/>
            </w:tcMar>
            <w:vAlign w:val="cente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Secciones bien delimitadas (filtros, resultados, exportación).</w:t>
            </w:r>
          </w:p>
        </w:tc>
        <w:tc>
          <w:tcPr>
            <w:tcMar>
              <w:top w:w="100.0" w:type="dxa"/>
              <w:left w:w="100.0" w:type="dxa"/>
              <w:bottom w:w="100.0" w:type="dxa"/>
              <w:right w:w="100.0" w:type="dxa"/>
            </w:tcMar>
            <w:vAlign w:val="center"/>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240" w:lineRule="auto"/>
              <w:jc w:val="center"/>
              <w:rPr/>
            </w:pPr>
            <w:sdt>
              <w:sdtPr>
                <w:id w:val="-882768737"/>
                <w:tag w:val="goog_rdk_0"/>
              </w:sdtPr>
              <w:sdtContent>
                <w:r w:rsidDel="00000000" w:rsidR="00000000" w:rsidRPr="00000000">
                  <w:rPr>
                    <w:rFonts w:ascii="Arial Unicode MS" w:cs="Arial Unicode MS" w:eastAsia="Arial Unicode MS" w:hAnsi="Arial Unicode MS"/>
                    <w:rtl w:val="0"/>
                  </w:rPr>
                  <w:t xml:space="preserve">Proceso claro: filtrar → generar → visualizar.</w:t>
                </w:r>
              </w:sdtContent>
            </w:sdt>
          </w:p>
        </w:tc>
        <w:tc>
          <w:tcPr>
            <w:tcMar>
              <w:top w:w="100.0" w:type="dxa"/>
              <w:left w:w="100.0" w:type="dxa"/>
              <w:bottom w:w="100.0" w:type="dxa"/>
              <w:right w:w="100.0" w:type="dxa"/>
            </w:tcMar>
            <w:vAlign w:val="center"/>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Permite descargar fácilmente.</w:t>
            </w:r>
          </w:p>
        </w:tc>
        <w:tc>
          <w:tcPr>
            <w:tcMar>
              <w:top w:w="100.0" w:type="dxa"/>
              <w:left w:w="100.0" w:type="dxa"/>
              <w:bottom w:w="100.0" w:type="dxa"/>
              <w:right w:w="100.0" w:type="dxa"/>
            </w:tcMar>
            <w:vAlign w:val="center"/>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Reportes generados correctamente.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Módulo de notificaciones y alertas</w:t>
            </w:r>
          </w:p>
        </w:tc>
        <w:tc>
          <w:tcPr>
            <w:tcMar>
              <w:top w:w="100.0" w:type="dxa"/>
              <w:left w:w="100.0" w:type="dxa"/>
              <w:bottom w:w="100.0" w:type="dxa"/>
              <w:right w:w="100.0" w:type="dxa"/>
            </w:tcMar>
            <w:vAlign w:val="cente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Muestra avisos relevantes (sesiones próximas, alertas del sistema). Muestra avisos relevantes (sesiones próximas, alertas del sistema).</w:t>
            </w:r>
          </w:p>
        </w:tc>
        <w:tc>
          <w:tcPr>
            <w:tcMar>
              <w:top w:w="100.0" w:type="dxa"/>
              <w:left w:w="100.0" w:type="dxa"/>
              <w:bottom w:w="100.0" w:type="dxa"/>
              <w:right w:w="100.0" w:type="dxa"/>
            </w:tcMar>
            <w:vAlign w:val="cente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Íconos claros y visibles.</w:t>
            </w:r>
          </w:p>
        </w:tc>
        <w:tc>
          <w:tcPr>
            <w:tcMar>
              <w:top w:w="100.0" w:type="dxa"/>
              <w:left w:w="100.0" w:type="dxa"/>
              <w:bottom w:w="100.0" w:type="dxa"/>
              <w:right w:w="100.0" w:type="dxa"/>
            </w:tcMar>
            <w:vAlign w:val="cente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Acceso rápido desde cualquier parte del sistema.</w:t>
            </w:r>
          </w:p>
        </w:tc>
        <w:tc>
          <w:tcPr>
            <w:tcMar>
              <w:top w:w="100.0" w:type="dxa"/>
              <w:left w:w="100.0" w:type="dxa"/>
              <w:bottom w:w="100.0" w:type="dxa"/>
              <w:right w:w="100.0" w:type="dxa"/>
            </w:tcMar>
            <w:vAlign w:val="center"/>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Notificaciones comprensibles y oportunas.</w:t>
            </w:r>
          </w:p>
        </w:tc>
        <w:tc>
          <w:tcPr>
            <w:tcMar>
              <w:top w:w="100.0" w:type="dxa"/>
              <w:left w:w="100.0" w:type="dxa"/>
              <w:bottom w:w="100.0" w:type="dxa"/>
              <w:right w:w="100.0" w:type="dxa"/>
            </w:tcMar>
            <w:vAlign w:val="cente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Usuario informado a tiempo.</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Panel de gestión de roles y permisos</w:t>
            </w:r>
          </w:p>
        </w:tc>
        <w:tc>
          <w:tcPr>
            <w:tcMar>
              <w:top w:w="100.0" w:type="dxa"/>
              <w:left w:w="100.0" w:type="dxa"/>
              <w:bottom w:w="100.0" w:type="dxa"/>
              <w:right w:w="100.0" w:type="dxa"/>
            </w:tcMar>
            <w:vAlign w:val="cente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Permite asignar o modificar roles de usuario.</w:t>
            </w:r>
          </w:p>
        </w:tc>
        <w:tc>
          <w:tcPr>
            <w:tcMar>
              <w:top w:w="100.0" w:type="dxa"/>
              <w:left w:w="100.0" w:type="dxa"/>
              <w:bottom w:w="100.0" w:type="dxa"/>
              <w:right w:w="100.0" w:type="dxa"/>
            </w:tcMar>
            <w:vAlign w:val="cente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Listas y botones organizados.</w:t>
            </w:r>
          </w:p>
        </w:tc>
        <w:tc>
          <w:tcPr>
            <w:tcMar>
              <w:top w:w="100.0" w:type="dxa"/>
              <w:left w:w="100.0" w:type="dxa"/>
              <w:bottom w:w="100.0" w:type="dxa"/>
              <w:right w:w="100.0" w:type="dxa"/>
            </w:tcMar>
            <w:vAlign w:val="cente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Flujo simple para cambios de permisos.</w:t>
            </w:r>
          </w:p>
        </w:tc>
        <w:tc>
          <w:tcPr>
            <w:tcMar>
              <w:top w:w="100.0" w:type="dxa"/>
              <w:left w:w="100.0" w:type="dxa"/>
              <w:bottom w:w="100.0" w:type="dxa"/>
              <w:right w:w="100.0" w:type="dxa"/>
            </w:tcMar>
            <w:vAlign w:val="cente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Confirmaciones antes de guardar.</w:t>
            </w:r>
          </w:p>
        </w:tc>
        <w:tc>
          <w:tcPr>
            <w:tcMar>
              <w:top w:w="100.0" w:type="dxa"/>
              <w:left w:w="100.0" w:type="dxa"/>
              <w:bottom w:w="100.0" w:type="dxa"/>
              <w:right w:w="100.0" w:type="dxa"/>
            </w:tcMar>
            <w:vAlign w:val="cente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Roles actualizados correctamente.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Configuración de disponibilidad de entrenadores</w:t>
            </w:r>
          </w:p>
        </w:tc>
        <w:tc>
          <w:tcPr>
            <w:tcMar>
              <w:top w:w="100.0" w:type="dxa"/>
              <w:left w:w="100.0" w:type="dxa"/>
              <w:bottom w:w="100.0" w:type="dxa"/>
              <w:right w:w="100.0" w:type="dxa"/>
            </w:tcMar>
            <w:vAlign w:val="cente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Permite definir horarios y disponibilidad.</w:t>
            </w:r>
          </w:p>
        </w:tc>
        <w:tc>
          <w:tcPr>
            <w:tcMar>
              <w:top w:w="100.0" w:type="dxa"/>
              <w:left w:w="100.0" w:type="dxa"/>
              <w:bottom w:w="100.0" w:type="dxa"/>
              <w:right w:w="100.0" w:type="dxa"/>
            </w:tcMar>
            <w:vAlign w:val="cente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Calendario o selector visual ordenado.</w:t>
            </w:r>
          </w:p>
        </w:tc>
        <w:tc>
          <w:tcPr>
            <w:tcMar>
              <w:top w:w="100.0" w:type="dxa"/>
              <w:left w:w="100.0" w:type="dxa"/>
              <w:bottom w:w="100.0" w:type="dxa"/>
              <w:right w:w="100.0" w:type="dxa"/>
            </w:tcMar>
            <w:vAlign w:val="cente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Navegación semanal o mensual sencilla.</w:t>
            </w:r>
          </w:p>
        </w:tc>
        <w:tc>
          <w:tcPr>
            <w:tcMar>
              <w:top w:w="100.0" w:type="dxa"/>
              <w:left w:w="100.0" w:type="dxa"/>
              <w:bottom w:w="100.0" w:type="dxa"/>
              <w:right w:w="100.0" w:type="dxa"/>
            </w:tcMar>
            <w:vAlign w:val="cente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Interacción intuitiva tipo calendario.</w:t>
            </w:r>
          </w:p>
        </w:tc>
        <w:tc>
          <w:tcPr>
            <w:tcMar>
              <w:top w:w="100.0" w:type="dxa"/>
              <w:left w:w="100.0" w:type="dxa"/>
              <w:bottom w:w="100.0" w:type="dxa"/>
              <w:right w:w="100.0" w:type="dxa"/>
            </w:tcMar>
            <w:vAlign w:val="cente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Disponibilidad configurada con éxito.</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Pantalla de inicio</w:t>
            </w:r>
          </w:p>
        </w:tc>
        <w:tc>
          <w:tcPr>
            <w:tcMar>
              <w:top w:w="100.0" w:type="dxa"/>
              <w:left w:w="100.0" w:type="dxa"/>
              <w:bottom w:w="100.0" w:type="dxa"/>
              <w:right w:w="100.0" w:type="dxa"/>
            </w:tcMar>
            <w:vAlign w:val="cente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Presenta vista general del sistema y accesos rápidos.</w:t>
            </w:r>
          </w:p>
        </w:tc>
        <w:tc>
          <w:tcPr>
            <w:tcMar>
              <w:top w:w="100.0" w:type="dxa"/>
              <w:left w:w="100.0" w:type="dxa"/>
              <w:bottom w:w="100.0" w:type="dxa"/>
              <w:right w:w="100.0" w:type="dxa"/>
            </w:tcMar>
            <w:vAlign w:val="center"/>
          </w:tcPr>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Elementos equilibrados visualmente.</w:t>
            </w:r>
          </w:p>
        </w:tc>
        <w:tc>
          <w:tcPr>
            <w:tcMar>
              <w:top w:w="100.0" w:type="dxa"/>
              <w:left w:w="100.0" w:type="dxa"/>
              <w:bottom w:w="100.0" w:type="dxa"/>
              <w:right w:w="100.0" w:type="dxa"/>
            </w:tcMar>
            <w:vAlign w:val="cente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Navegación clara a los módulos principales.</w:t>
            </w:r>
          </w:p>
        </w:tc>
        <w:tc>
          <w:tcPr>
            <w:tcMar>
              <w:top w:w="100.0" w:type="dxa"/>
              <w:left w:w="100.0" w:type="dxa"/>
              <w:bottom w:w="100.0" w:type="dxa"/>
              <w:right w:w="100.0" w:type="dxa"/>
            </w:tcMar>
            <w:vAlign w:val="center"/>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Diseño limpio, comprensible y responsivo.</w:t>
            </w:r>
          </w:p>
        </w:tc>
        <w:tc>
          <w:tcPr>
            <w:tcMar>
              <w:top w:w="100.0" w:type="dxa"/>
              <w:left w:w="100.0" w:type="dxa"/>
              <w:bottom w:w="100.0" w:type="dxa"/>
              <w:right w:w="100.0" w:type="dxa"/>
            </w:tcMar>
            <w:vAlign w:val="center"/>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Acceso ágil a todas las funciones.</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sz w:val="28"/>
          <w:szCs w:val="28"/>
        </w:rPr>
      </w:pPr>
      <w:r w:rsidDel="00000000" w:rsidR="00000000" w:rsidRPr="00000000">
        <w:rPr>
          <w:sz w:val="28"/>
          <w:szCs w:val="28"/>
          <w:rtl w:val="0"/>
        </w:rPr>
        <w:t xml:space="preserve">Enfoque de Evaluación</w:t>
      </w:r>
    </w:p>
    <w:p w:rsidR="00000000" w:rsidDel="00000000" w:rsidP="00000000" w:rsidRDefault="00000000" w:rsidRPr="00000000" w14:paraId="000000BE">
      <w:pPr>
        <w:rPr/>
      </w:pPr>
      <w:r w:rsidDel="00000000" w:rsidR="00000000" w:rsidRPr="00000000">
        <w:rPr>
          <w:rtl w:val="0"/>
        </w:rPr>
        <w:t xml:space="preserve">Validación interna por parte del equipo de desarrollo y pruebas, priorizando la experiencia de usuario (UX), la coherencia funcional y la usabilidad general de cada módulo.</w:t>
        <w:br w:type="textWrapping"/>
        <w:t xml:space="preserve">La evaluación se realizará mediante pruebas internas y revisión colaborativa entre los integrantes del equipo, considerando criterios de diseño, navegabilidad y cumplimiento de los requerimientos funcionales definidos.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rPr>
          <w:sz w:val="28"/>
          <w:szCs w:val="28"/>
        </w:rPr>
      </w:pPr>
      <w:r w:rsidDel="00000000" w:rsidR="00000000" w:rsidRPr="00000000">
        <w:rPr>
          <w:sz w:val="28"/>
          <w:szCs w:val="28"/>
          <w:rtl w:val="0"/>
        </w:rPr>
        <w:t xml:space="preserve">Conclusión</w:t>
      </w:r>
    </w:p>
    <w:p w:rsidR="00000000" w:rsidDel="00000000" w:rsidP="00000000" w:rsidRDefault="00000000" w:rsidRPr="00000000" w14:paraId="000000E9">
      <w:pPr>
        <w:jc w:val="both"/>
        <w:rPr>
          <w:sz w:val="24"/>
          <w:szCs w:val="24"/>
        </w:rPr>
      </w:pPr>
      <w:r w:rsidDel="00000000" w:rsidR="00000000" w:rsidRPr="00000000">
        <w:rPr>
          <w:sz w:val="24"/>
          <w:szCs w:val="24"/>
          <w:rtl w:val="0"/>
        </w:rPr>
        <w:t xml:space="preserve">Estos criterios de aceptación centrados en la experiencia de usuario buscan garantizar que la plataforma del SAG no solo cumpla con los requerimientos funcionales, sino que también proporcione una interacción fluida, clara y satisfactoria.</w:t>
        <w:br w:type="textWrapping"/>
        <w:t xml:space="preserve">Al aplicarse bajo la metodología XP, se asegura una mejora continúa basada en la retroalimentación constante.</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2112579" cy="529220"/>
          <wp:effectExtent b="0" l="0" r="0" t="0"/>
          <wp:wrapNone/>
          <wp:docPr descr="EscuelaIT Duoc UC - Escuela de Informática y Telecomunicaciones Duoc UC ..." id="50180201" name="image1.jpg"/>
          <a:graphic>
            <a:graphicData uri="http://schemas.openxmlformats.org/drawingml/2006/picture">
              <pic:pic>
                <pic:nvPicPr>
                  <pic:cNvPr descr="EscuelaIT Duoc UC - Escuela de Informática y Telecomunicaciones Duoc UC ..." id="0" name="image1.jpg"/>
                  <pic:cNvPicPr preferRelativeResize="0"/>
                </pic:nvPicPr>
                <pic:blipFill>
                  <a:blip r:embed="rId1"/>
                  <a:srcRect b="0" l="0" r="0" t="0"/>
                  <a:stretch>
                    <a:fillRect/>
                  </a:stretch>
                </pic:blipFill>
                <pic:spPr>
                  <a:xfrm>
                    <a:off x="0" y="0"/>
                    <a:ext cx="2112579" cy="5292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paragraph" w:styleId="Encabezado">
    <w:name w:val="header"/>
    <w:basedOn w:val="Normal"/>
    <w:link w:val="EncabezadoCar"/>
    <w:uiPriority w:val="99"/>
    <w:unhideWhenUsed w:val="1"/>
    <w:rsid w:val="004A4700"/>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A4700"/>
  </w:style>
  <w:style w:type="paragraph" w:styleId="Piedepgina">
    <w:name w:val="footer"/>
    <w:basedOn w:val="Normal"/>
    <w:link w:val="PiedepginaCar"/>
    <w:uiPriority w:val="99"/>
    <w:unhideWhenUsed w:val="1"/>
    <w:rsid w:val="004A4700"/>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A4700"/>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F37yRT2Q6eahDFS1Pq9hOJUDOQ==">CgMxLjAaHQoBMBIYChYIB0ISEhBBcmlhbCBVbmljb2RlIE1TMg5oLnVzdmxobTQyY2YwdDgAciExaHBaVl9mQ0NtSGczckNoZTllbG5PN2RaU1VoOUExLWY=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2025-11-05T02:08:00Z</dcterms:created>
  <dc:creator>Guiselle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0x01010086EC0FD975435A41AF7AC8D8236C43CA</vt:lpwstr>
  </property>
</Properties>
</file>