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sz w:val="30"/>
        </w:rPr>
        <w:t>Технический университет Молдовы (UTM)</w:t>
      </w:r>
    </w:p>
    <w:p>
      <w:pPr>
        <w:jc w:val="center"/>
      </w:pPr>
      <w:r>
        <w:rPr>
          <w:rFonts w:ascii="Arial" w:hAnsi="Arial"/>
          <w:sz w:val="24"/>
        </w:rPr>
        <w:t>Факультет информационных технологий</w:t>
      </w:r>
    </w:p>
    <w:p/>
    <w:p/>
    <w:p/>
    <w:p>
      <w:pPr>
        <w:jc w:val="center"/>
      </w:pPr>
      <w:r>
        <w:rPr>
          <w:rFonts w:ascii="Arial" w:hAnsi="Arial"/>
          <w:b/>
          <w:sz w:val="36"/>
        </w:rPr>
        <w:t>Лабораторная работа</w:t>
      </w:r>
    </w:p>
    <w:p>
      <w:pPr>
        <w:jc w:val="center"/>
      </w:pPr>
      <w:r>
        <w:rPr>
          <w:rFonts w:ascii="Arial" w:hAnsi="Arial"/>
          <w:b/>
          <w:sz w:val="32"/>
        </w:rPr>
        <w:t>Система менеджмента информационной безопасности на основе ISO 27001 и ISO 27005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2"/>
              </w:rPr>
              <w:t>Предмет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2"/>
              </w:rPr>
              <w:t>TSI</w:t>
            </w:r>
          </w:p>
        </w:tc>
      </w:tr>
      <w:tr>
        <w:tc>
          <w:tcPr>
            <w:tcW w:type="dxa" w:w="4819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2"/>
              </w:rPr>
              <w:t>Группа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2"/>
              </w:rPr>
              <w:t>TI-242FR</w:t>
            </w:r>
          </w:p>
        </w:tc>
      </w:tr>
      <w:tr>
        <w:tc>
          <w:tcPr>
            <w:tcW w:type="dxa" w:w="4819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2"/>
              </w:rPr>
              <w:t>Выполнили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2"/>
              </w:rPr>
              <w:t>Alina Bocearova, Elepin Vladislav, Igor Tiora</w:t>
            </w:r>
          </w:p>
        </w:tc>
      </w:tr>
      <w:tr>
        <w:tc>
          <w:tcPr>
            <w:tcW w:type="dxa" w:w="4819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2"/>
              </w:rPr>
              <w:t>Организация проекта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2"/>
              </w:rPr>
              <w:t>ООО «MediNova Clinic»</w:t>
            </w:r>
          </w:p>
        </w:tc>
      </w:tr>
      <w:tr>
        <w:tc>
          <w:tcPr>
            <w:tcW w:type="dxa" w:w="4819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2"/>
              </w:rPr>
              <w:t>Год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2"/>
              </w:rPr>
              <w:t>2026</w:t>
            </w:r>
          </w:p>
        </w:tc>
      </w:tr>
    </w:tbl>
    <w:p/>
    <w:p/>
    <w:p/>
    <w:p/>
    <w:p/>
    <w:p>
      <w:pPr>
        <w:jc w:val="center"/>
      </w:pPr>
      <w:r>
        <w:rPr>
          <w:rFonts w:ascii="Arial" w:hAnsi="Arial"/>
          <w:sz w:val="24"/>
        </w:rPr>
        <w:t>Кишинёв, 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1E1E1E"/>
        </w:rPr>
        <w:t>Lab Report - Document Enterprise Cybersecurity Issues</w:t>
      </w:r>
    </w:p>
    <w:p>
      <w:pPr>
        <w:spacing w:after="120" w:line="259" w:lineRule="auto"/>
      </w:pPr>
      <w:r>
        <w:rPr>
          <w:rFonts w:ascii="Arial" w:hAnsi="Arial"/>
          <w:sz w:val="22"/>
        </w:rPr>
        <w:t>Отчёт оформлен по структуре лабораторной работы: Objectives, Scenario, Instructions, Part 1-4, таблицы активов, угроз и мер снижения риска, а также элементы ISO 27001 и ISO 27005.</w:t>
      </w:r>
    </w:p>
    <w:p>
      <w:pPr>
        <w:pStyle w:val="Heading1"/>
      </w:pPr>
      <w:r>
        <w:rPr>
          <w:rFonts w:ascii="Arial" w:hAnsi="Arial"/>
          <w:color w:val="1E1E1E"/>
        </w:rPr>
        <w:t>Objectives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Part 1: Зафиксировать оценку проблем кибербезопасности выбранной организации.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Part 2: Определить основные типы активов, которыми владеет организация.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Part 3: Перечислить угрозы для каждого типа активов.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Part 4: Предложить методы снижения риска для каждой угрозы.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Дополнительно: показать область применения ISMS, реестр рисков, контроли, политики и итоговый план внедрения.</w:t>
      </w:r>
    </w:p>
    <w:p>
      <w:pPr>
        <w:pStyle w:val="Heading1"/>
      </w:pPr>
      <w:r>
        <w:rPr>
          <w:rFonts w:ascii="Arial" w:hAnsi="Arial"/>
          <w:color w:val="1E1E1E"/>
        </w:rPr>
        <w:t>Scenario</w:t>
      </w:r>
    </w:p>
    <w:p>
      <w:pPr>
        <w:spacing w:after="120" w:line="259" w:lineRule="auto"/>
      </w:pPr>
      <w:r>
        <w:rPr>
          <w:rFonts w:ascii="Arial" w:hAnsi="Arial"/>
          <w:sz w:val="22"/>
        </w:rPr>
        <w:t>ООО «MediNova Clinic» — частная медицинская клиника и диагностический центр. В клинике работает около 120 сотрудников. Организация обрабатывает персональные данные пациентов, электронные медицинские карты, лабораторные результаты, финансовую и страховую документацию.</w:t>
      </w:r>
    </w:p>
    <w:p>
      <w:pPr>
        <w:spacing w:after="120" w:line="259" w:lineRule="auto"/>
      </w:pPr>
      <w:r>
        <w:rPr>
          <w:rFonts w:ascii="Arial" w:hAnsi="Arial"/>
          <w:sz w:val="22"/>
        </w:rPr>
        <w:t>Клиника должна обеспечивать конфиденциальность медицинских и персональных данных, целостность медицинских записей и доступность критических сервисов.</w:t>
      </w:r>
    </w:p>
    <w:p>
      <w:pPr>
        <w:pStyle w:val="Heading1"/>
      </w:pPr>
      <w:r>
        <w:rPr>
          <w:rFonts w:ascii="Arial" w:hAnsi="Arial"/>
          <w:color w:val="1E1E1E"/>
        </w:rPr>
        <w:t>Instructions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Information/Data Assets — данные, которые используются, хранятся или передаются организацией.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Software Assets — операционные системы, серверное ПО, базы данных и корпоративные приложения.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Physical Assets — серверы, рабочие станции, камеры, считыватели и другое оборудование.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Network Assets — сети, сетевые сервисы, VPN, Wi-Fi, firewall и интернет-канал.</w:t>
      </w:r>
    </w:p>
    <w:p>
      <w:pPr>
        <w:pStyle w:val="Heading1"/>
      </w:pPr>
      <w:r>
        <w:rPr>
          <w:rFonts w:ascii="Arial" w:hAnsi="Arial"/>
          <w:color w:val="1E1E1E"/>
        </w:rPr>
        <w:t>Part 1: Record the assessment of cybersecurity issues</w:t>
      </w:r>
    </w:p>
    <w:p>
      <w:pPr>
        <w:pStyle w:val="Heading2"/>
      </w:pPr>
      <w:r>
        <w:rPr>
          <w:rFonts w:ascii="Arial" w:hAnsi="Arial"/>
          <w:color w:val="1E1E1E"/>
        </w:rPr>
        <w:t>Описание организации</w:t>
      </w:r>
    </w:p>
    <w:p>
      <w:pPr>
        <w:spacing w:after="120" w:line="259" w:lineRule="auto"/>
      </w:pPr>
      <w:r>
        <w:rPr>
          <w:rFonts w:ascii="Arial" w:hAnsi="Arial"/>
          <w:sz w:val="22"/>
        </w:rPr>
        <w:t>ООО «MediNova Clinic» оказывает медицинские и диагностические услуги, обрабатывает чувствительные персональные данные пациентов и зависит от непрерывной работы медицинских информационных систем.</w:t>
      </w:r>
    </w:p>
    <w:p>
      <w:pPr>
        <w:spacing w:after="120" w:line="259" w:lineRule="auto"/>
      </w:pPr>
      <w:r>
        <w:rPr>
          <w:rFonts w:ascii="Arial" w:hAnsi="Arial"/>
          <w:sz w:val="22"/>
        </w:rPr>
        <w:t>Область применения ISMS: Система менеджмента информационной безопасности охватывает обработку, хранение и передачу персональных данных пациентов, электронных медицинских записей, лабораторных результатов, финансовой информации, учётных записей сотрудников, программного обеспечения, серверной инфраструктуры, сетевых сервисов, резервного копирования, удалённого доступа, физической безопасности и процедур реагирования на инциденты в рамках ООО «MediNova Clinic».</w:t>
      </w:r>
    </w:p>
    <w:p>
      <w:pPr>
        <w:spacing w:after="120" w:line="259" w:lineRule="auto"/>
      </w:pPr>
      <w:r>
        <w:rPr>
          <w:rFonts w:ascii="Arial" w:hAnsi="Arial"/>
          <w:sz w:val="22"/>
        </w:rPr>
        <w:t>Цели безопасности: Обеспечить конфиденциальность персональных данных, целостность медицинских записей, доступность критических сервисов и управляемое реагирование на инциденты.</w:t>
      </w:r>
    </w:p>
    <w:p>
      <w:pPr>
        <w:pStyle w:val="Heading2"/>
      </w:pPr>
      <w:r>
        <w:rPr>
          <w:rFonts w:ascii="Arial" w:hAnsi="Arial"/>
          <w:color w:val="1E1E1E"/>
        </w:rPr>
        <w:t>Подразделения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Подразделение</w:t>
            </w:r>
          </w:p>
        </w:tc>
        <w:tc>
          <w:tcPr>
            <w:tcW w:type="dxa" w:w="4819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Описание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Руководство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Утверждает ISMS, бюджет и политику информационной безопасности.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IT-отдел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Администрирует серверы, сеть, резервное копирование и контроль доступа.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Врачи и медицинский персонал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Используют медицинские записи и лабораторные результаты.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Диагностическая лаборатория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Обрабатывает результаты анализов и диагностические данные.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Регистратура / Call Center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Регистрирует пациентов и работает с расписанием приёма.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Финансовый отдел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Обрабатывает счета, страховую документацию и платежи.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HR-отдел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Хранит данные сотрудников и документы персонала.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Юридический отдел и комплаенс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Контролирует требования законодательства и договоры.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Физическая охрана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Отвечает за доступ в помещения, CCTV и журнал посещений.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E1E1E"/>
        </w:rPr>
        <w:t>Основные проблемы кибербезопасности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Проблема</w:t>
            </w:r>
          </w:p>
        </w:tc>
        <w:tc>
          <w:tcPr>
            <w:tcW w:type="dxa" w:w="3213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Описание</w:t>
            </w:r>
          </w:p>
        </w:tc>
        <w:tc>
          <w:tcPr>
            <w:tcW w:type="dxa" w:w="3213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Возможное влияние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Защита медицинских данных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Клиника хранит персональные данные пациентов, электронные медицинские карты и лабораторные результаты.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Утечка данных, нарушение конфиденциальности, репутационный ущерб.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Доступность медицинских сервисов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Регистрация пациентов, запись на прием и доступ врачей к медицинским данным зависят от IT-инфраструктуры.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Простой клиники, задержка медицинских услуг, финансовые потери.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Удаленный доступ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Врачи и администраторы используют VPN и удаленный доступ к внутренним системам.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Компрометация учетных записей, несанкционированный доступ.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Резервное копирование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Медицинские данные должны быть восстановимы после ransomware, сбоя или ошибки.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Потеря данных и невозможность продолжать работу.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Физическая безопасность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Серверы, CCTV и система контроля доступа должны быть защищены от физического воздействия.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Кража оборудования, повреждение инфраструктуры, нарушение доступности.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1E1E"/>
        </w:rPr>
        <w:t>Part 2: Record the different types of assets</w:t>
      </w:r>
    </w:p>
    <w:p>
      <w:pPr>
        <w:pStyle w:val="Heading2"/>
      </w:pPr>
      <w:r>
        <w:rPr>
          <w:rFonts w:ascii="Arial" w:hAnsi="Arial"/>
          <w:color w:val="1E1E1E"/>
        </w:rPr>
        <w:t>Информация / данные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Актив</w:t>
            </w:r>
          </w:p>
        </w:tc>
        <w:tc>
          <w:tcPr>
            <w:tcW w:type="dxa" w:w="1606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Владелец</w:t>
            </w:r>
          </w:p>
        </w:tc>
        <w:tc>
          <w:tcPr>
            <w:tcW w:type="dxa" w:w="1606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К</w:t>
            </w:r>
          </w:p>
        </w:tc>
        <w:tc>
          <w:tcPr>
            <w:tcW w:type="dxa" w:w="1606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Ц</w:t>
            </w:r>
          </w:p>
        </w:tc>
        <w:tc>
          <w:tcPr>
            <w:tcW w:type="dxa" w:w="1606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Д</w:t>
            </w:r>
          </w:p>
        </w:tc>
        <w:tc>
          <w:tcPr>
            <w:tcW w:type="dxa" w:w="1606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Ценность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персональные данные пациентов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Регистратура / Call Center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Критический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Критический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электронные медицинские карты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Врачи и медицинский персонал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Критический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Критический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Критический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Критический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лабораторные результаты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Диагностическая лаборатория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Критический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Критический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финансовые и страховые данные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Финансовый отдел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данные сотрудников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HR-отдел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внутренние политики и процедуры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Юридический отдел и комплаенс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E1E1E"/>
        </w:rPr>
        <w:t>Программное обеспечение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Актив</w:t>
            </w:r>
          </w:p>
        </w:tc>
        <w:tc>
          <w:tcPr>
            <w:tcW w:type="dxa" w:w="1606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Владелец</w:t>
            </w:r>
          </w:p>
        </w:tc>
        <w:tc>
          <w:tcPr>
            <w:tcW w:type="dxa" w:w="1606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К</w:t>
            </w:r>
          </w:p>
        </w:tc>
        <w:tc>
          <w:tcPr>
            <w:tcW w:type="dxa" w:w="1606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Ц</w:t>
            </w:r>
          </w:p>
        </w:tc>
        <w:tc>
          <w:tcPr>
            <w:tcW w:type="dxa" w:w="1606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Д</w:t>
            </w:r>
          </w:p>
        </w:tc>
        <w:tc>
          <w:tcPr>
            <w:tcW w:type="dxa" w:w="1606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Ценность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SQL database system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IT-отдел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Критический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Критический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Критический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Критический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internal web portal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IT-отдел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appointment scheduling system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Регистратура / Call Center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email server software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IT-отдел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antivirus / EDR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IT-отдел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backup software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IT-отдел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Критический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Критический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Критический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E1E1E"/>
        </w:rPr>
        <w:t>Аппаратное обеспечение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Актив</w:t>
            </w:r>
          </w:p>
        </w:tc>
        <w:tc>
          <w:tcPr>
            <w:tcW w:type="dxa" w:w="1606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Владелец</w:t>
            </w:r>
          </w:p>
        </w:tc>
        <w:tc>
          <w:tcPr>
            <w:tcW w:type="dxa" w:w="1606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К</w:t>
            </w:r>
          </w:p>
        </w:tc>
        <w:tc>
          <w:tcPr>
            <w:tcW w:type="dxa" w:w="1606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Ц</w:t>
            </w:r>
          </w:p>
        </w:tc>
        <w:tc>
          <w:tcPr>
            <w:tcW w:type="dxa" w:w="1606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Д</w:t>
            </w:r>
          </w:p>
        </w:tc>
        <w:tc>
          <w:tcPr>
            <w:tcW w:type="dxa" w:w="1606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Ценность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database server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IT-отдел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Критический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Критический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Критический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Критический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application server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IT-отдел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Критический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doctor workstations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Врачи и медицинский персонал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reception PCs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Регистратура / Call Center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network switches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IT-отдел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CCTV cameras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Физическая охрана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access control readers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Физическая охрана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E1E1E"/>
        </w:rPr>
        <w:t>Сеть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Актив</w:t>
            </w:r>
          </w:p>
        </w:tc>
        <w:tc>
          <w:tcPr>
            <w:tcW w:type="dxa" w:w="1606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Владелец</w:t>
            </w:r>
          </w:p>
        </w:tc>
        <w:tc>
          <w:tcPr>
            <w:tcW w:type="dxa" w:w="1606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К</w:t>
            </w:r>
          </w:p>
        </w:tc>
        <w:tc>
          <w:tcPr>
            <w:tcW w:type="dxa" w:w="1606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Ц</w:t>
            </w:r>
          </w:p>
        </w:tc>
        <w:tc>
          <w:tcPr>
            <w:tcW w:type="dxa" w:w="1606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Д</w:t>
            </w:r>
          </w:p>
        </w:tc>
        <w:tc>
          <w:tcPr>
            <w:tcW w:type="dxa" w:w="1606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Ценность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wired LAN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IT-отдел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Критический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Критический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Wi-Fi network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IT-отдел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VPN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IT-отдел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firewall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IT-отдел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Критический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Критический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DNS/DHCP services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IT-отдел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internet connection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IT-отдел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Средний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Критический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Высокий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1E1E"/>
        </w:rPr>
        <w:t>Part 3: List the threats for each asset type</w:t>
      </w:r>
    </w:p>
    <w:p>
      <w:pPr>
        <w:pStyle w:val="Heading2"/>
      </w:pPr>
      <w:r>
        <w:rPr>
          <w:rFonts w:ascii="Arial" w:hAnsi="Arial"/>
          <w:color w:val="1E1E1E"/>
        </w:rPr>
        <w:t>Вопрос: в чем разница между угрозой и уязвимостью?</w:t>
      </w:r>
    </w:p>
    <w:p>
      <w:pPr>
        <w:spacing w:after="120" w:line="259" w:lineRule="auto"/>
      </w:pPr>
      <w:r>
        <w:rPr>
          <w:rFonts w:ascii="Arial" w:hAnsi="Arial"/>
          <w:sz w:val="22"/>
        </w:rPr>
        <w:t>Уязвимость — это слабое место актива, процесса или контроля, которое может быть использовано. Угроза — это возможное событие или действие, которое использует уязвимость и приводит к ущербу.</w:t>
      </w:r>
    </w:p>
    <w:p>
      <w:pPr>
        <w:pStyle w:val="Heading2"/>
      </w:pPr>
      <w:r>
        <w:rPr>
          <w:rFonts w:ascii="Arial" w:hAnsi="Arial"/>
          <w:color w:val="1E1E1E"/>
        </w:rPr>
        <w:t>Информация / данные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Активы</w:t>
            </w:r>
          </w:p>
        </w:tc>
        <w:tc>
          <w:tcPr>
            <w:tcW w:type="dxa" w:w="3213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Угрозы</w:t>
            </w:r>
          </w:p>
        </w:tc>
        <w:tc>
          <w:tcPr>
            <w:tcW w:type="dxa" w:w="3213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Меры снижения риска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персональные данные пациентов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слабые пароли -&gt; кража учётных данных -&gt; несанкционированный доступ к данным пациентов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MFA и строгая парольная политика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электронные медицинские карты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избыточные права доступа -&gt; злоупотребление привилегиями -&gt; изменение медицинских записей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RBAC и регулярный пересмотр доступа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лабораторные результаты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отсутствие контроля целостности -&gt; ошибочное изменение данных -&gt; неверные медицинские решения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контроль версий и журналирование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финансовые и страховые данные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незащищённый экспорт файлов -&gt; утечка финансовой информации -&gt; штрафы и претензии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DLP и шифрование файлов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данные сотрудников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общие папки без ограничений -&gt; разглашение персональных данных -&gt; нарушение конфиденциальности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права доступа по ролям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внутренние политики и процедуры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редкий пересмотр -&gt; несоответствие практик -&gt; ошибки персонала и аудит-замечания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годовой пересмотр документов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E1E1E"/>
        </w:rPr>
        <w:t>Программное обеспечение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Активы</w:t>
            </w:r>
          </w:p>
        </w:tc>
        <w:tc>
          <w:tcPr>
            <w:tcW w:type="dxa" w:w="3213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Угрозы</w:t>
            </w:r>
          </w:p>
        </w:tc>
        <w:tc>
          <w:tcPr>
            <w:tcW w:type="dxa" w:w="3213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Меры снижения риска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SQL database system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устаревшая версия СУБД -&gt; эксплуатация уязвимости -&gt; компрометация базы данных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patch management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internal web portal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недостаточная валидация ввода -&gt; SQL injection -&gt; получение доступа к данным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secure coding и тестирование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appointment scheduling system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нет защиты от перебора -&gt; brute force -&gt; компрометация расписания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rate limiting и MFA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email server software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недостаточное обучение персонала -&gt; phishing -&gt; компрометация учётных записей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security awareness training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antivirus / EDR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отключённые агенты -&gt; незамеченное заражение -&gt; распространение вредоносного ПО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контроль покрытия EDR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backup software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отсутствие проверки резервных копий -&gt; невозможность восстановления -&gt; потеря данных после инцидента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регулярное тестирование backup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E1E1E"/>
        </w:rPr>
        <w:t>Аппаратное обеспечение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Активы</w:t>
            </w:r>
          </w:p>
        </w:tc>
        <w:tc>
          <w:tcPr>
            <w:tcW w:type="dxa" w:w="3213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Угрозы</w:t>
            </w:r>
          </w:p>
        </w:tc>
        <w:tc>
          <w:tcPr>
            <w:tcW w:type="dxa" w:w="3213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Меры снижения риска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database server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устаревшие серверы -&gt; ransomware -&gt; простой медицинских сервисов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EDR, segmentation и backup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application server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неполное журналирование -&gt; позднее обнаружение инцидента -&gt; расширение атаки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централизованное логирование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doctor workstations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использование USB-носителей -&gt; malware infection -&gt; утечка или шифрование данных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контроль устройств и EDR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reception PCs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открытые рабочие сессии -&gt; доступ посторонних -&gt; просмотр данных пациентов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автоблокировка и обучение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network switches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стандартные пароли -&gt; изменение конфигурации сети -&gt; нарушение доступности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hardening и учетные записи администраторов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CCTV cameras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необновлённая прошивка -&gt; захват видеопотока -&gt; потеря контроля физической безопасности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обновления и сегментация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access control readers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физический доступ к серверной -&gt; кража/повреждение оборудования -&gt; остановка IT-сервисов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контроль доступа и CCTV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E1E1E"/>
        </w:rPr>
        <w:t>Сеть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Активы</w:t>
            </w:r>
          </w:p>
        </w:tc>
        <w:tc>
          <w:tcPr>
            <w:tcW w:type="dxa" w:w="3213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Угрозы</w:t>
            </w:r>
          </w:p>
        </w:tc>
        <w:tc>
          <w:tcPr>
            <w:tcW w:type="dxa" w:w="3213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Меры снижения риска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wired LAN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отсутствие сегментации -&gt; lateral movement -&gt; массовая компрометация сети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VLAN и ACL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Wi-Fi network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слабая защита Wi-Fi -&gt; подключение злоумышленника -&gt; компрометация сети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WPA3 и сегментация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VPN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нет MFA для удалённого доступа -&gt; компрометация VPN -&gt; удалённый доступ атакующего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MFA и мониторинг сессий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firewall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ошибочная конфигурация правил -&gt; обход периметра -&gt; доступ к внутренним сервисам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change management и review правил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DNS/DHCP services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нет резервирования -&gt; отказ сетевых сервисов -&gt; простой рабочих мест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резервный DNS/DHCP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internet connection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один провайдер -&gt; DDoS или отказ канала -&gt; недоступность внешних сервисов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резервный канал и DDoS защита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1E1E"/>
        </w:rPr>
        <w:t>Part 4: Recommend mitigation techniques</w:t>
      </w:r>
    </w:p>
    <w:p>
      <w:pPr>
        <w:spacing w:after="120" w:line="259" w:lineRule="auto"/>
      </w:pPr>
      <w:r>
        <w:rPr>
          <w:rFonts w:ascii="Arial" w:hAnsi="Arial"/>
          <w:sz w:val="22"/>
        </w:rPr>
        <w:t>Для снижения рисков предложены физические, технические и административные контроли. Они разделяются по функции: предупреждающие, обнаруживающие и корректирующие.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Тип</w:t>
            </w:r>
          </w:p>
        </w:tc>
        <w:tc>
          <w:tcPr>
            <w:tcW w:type="dxa" w:w="1928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Функция</w:t>
            </w:r>
          </w:p>
        </w:tc>
        <w:tc>
          <w:tcPr>
            <w:tcW w:type="dxa" w:w="1928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Контроль</w:t>
            </w:r>
          </w:p>
        </w:tc>
        <w:tc>
          <w:tcPr>
            <w:tcW w:type="dxa" w:w="1928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Статус</w:t>
            </w:r>
          </w:p>
        </w:tc>
        <w:tc>
          <w:tcPr>
            <w:tcW w:type="dxa" w:w="1928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Ответственный 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Административные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Корректирующие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incident response plan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Запланировано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IT-отдел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Административные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Корректирующие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disciplinary procedure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Запланировано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HR-отдел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Административные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Корректирующие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policy update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Внедрено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Юридический отдел и комплаенс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Административные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Корректирующие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post-incident training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Запланировано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HR-отдел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Административные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Обнаруживающие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audit log review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Запланировано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IT-отдел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Административные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Обнаруживающие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access review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Запланировано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Юридический отдел и комплаенс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Административные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Обнаруживающие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compliance audits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Запланировано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Юридический отдел и комплаенс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Административные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Обнаруживающие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phishing simulation results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Не внедрено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HR-отдел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Административные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Предупреждающие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password policy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Внедрено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Юридический отдел и комплаенс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Административные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Предупреждающие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access control policy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Запланировано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Юридический отдел и комплаенс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Административные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Предупреждающие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security awareness training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Запланировано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HR-отдел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Административные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Предупреждающие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asset management policy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Внедрено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IT-отдел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Административные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Предупреждающие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acceptable use policy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Запланировано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HR-отдел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Технические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Корректирующие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restore from backup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Внедрено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IT-отдел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Технические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Корректирующие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malware removal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Внедрено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IT-отдел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Технические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Корректирующие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incident containment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Запланировано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IT-отдел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Технические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Корректирующие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emergency patching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Запланировано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IT-отдел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Технические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Обнаруживающие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SIEM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Запланировано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IT-отдел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Технические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Обнаруживающие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IDS/IPS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Не внедрено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IT-отдел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Технические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Обнаруживающие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log monitoring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Запланировано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IT-отдел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Технические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Обнаруживающие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vulnerability scanning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Запланировано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IT-отдел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Технические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Обнаруживающие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anomaly detection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Не внедрено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IT-отдел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Технические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Предупреждающие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firewall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Внедрено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IT-отдел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Технические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Предупреждающие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MFA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Запланировано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IT-отдел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Технические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Предупреждающие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VPN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Внедрено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IT-отдел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Технические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Предупреждающие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encryption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Запланировано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IT-отдел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Технические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Предупреждающие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patch management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Запланировано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IT-отдел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Технические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Предупреждающие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endpoint protection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Внедрено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IT-отдел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Физические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Корректирующие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замена повреждённого оборудования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Запланировано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IT-отдел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Физические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Корректирующие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запасные комплектующие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Запланировано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IT-отдел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Физические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Корректирующие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временное помещение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Не внедрено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Руководство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Физические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Корректирующие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восстановление физической инфраструктуры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Запланировано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IT-отдел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Физические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Обнаруживающие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CCTV monitoring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Внедрено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Физическая охрана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Физические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Обнаруживающие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датчики движения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Запланировано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Физическая охрана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Физические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Обнаруживающие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пожарные датчики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Внедрено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Физическая охрана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Физические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Обнаруживающие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журналы посещений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Внедрено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Физическая охрана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Физические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Предупреждающие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контроль доступа в серверную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Внедрено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Физическая охрана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Физические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Предупреждающие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электронные пропуска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Внедрено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Физическая охрана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Физические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Предупреждающие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замки и ограничение доступа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Запланировано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Физическая охрана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Физические контроли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Предупреждающие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резервное электропитание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Внедрено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IT-отдел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1E1E"/>
        </w:rPr>
        <w:t>ISO 27005 Risk Assessment</w:t>
      </w:r>
    </w:p>
    <w:p>
      <w:pPr>
        <w:spacing w:after="120" w:line="259" w:lineRule="auto"/>
      </w:pPr>
      <w:r>
        <w:rPr>
          <w:rFonts w:ascii="Arial" w:hAnsi="Arial"/>
          <w:sz w:val="22"/>
        </w:rPr>
        <w:t>Для оценки риска используется учебная модель TP/VL/SEV/DET. TP — вероятность угрозы, VL — уровень уязвимости, SEV — влияние на бизнес, DET — возможность обнаружения.</w:t>
      </w:r>
    </w:p>
    <w:p>
      <w:pPr>
        <w:spacing w:after="120" w:line="259" w:lineRule="auto"/>
      </w:pPr>
      <w:r>
        <w:rPr>
          <w:rFonts w:ascii="Arial" w:hAnsi="Arial"/>
          <w:sz w:val="22"/>
        </w:rPr>
        <w:t>Формула: risk = round((((TP - 1) + (VL - 1) + (SEV - 1) + (5 - DET)) / 16) × 100).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ID</w:t>
            </w:r>
          </w:p>
        </w:tc>
        <w:tc>
          <w:tcPr>
            <w:tcW w:type="dxa" w:w="964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Актив</w:t>
            </w:r>
          </w:p>
        </w:tc>
        <w:tc>
          <w:tcPr>
            <w:tcW w:type="dxa" w:w="964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Уязвимость</w:t>
            </w:r>
          </w:p>
        </w:tc>
        <w:tc>
          <w:tcPr>
            <w:tcW w:type="dxa" w:w="964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Угроза</w:t>
            </w:r>
          </w:p>
        </w:tc>
        <w:tc>
          <w:tcPr>
            <w:tcW w:type="dxa" w:w="964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TP</w:t>
            </w:r>
          </w:p>
        </w:tc>
        <w:tc>
          <w:tcPr>
            <w:tcW w:type="dxa" w:w="964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VL</w:t>
            </w:r>
          </w:p>
        </w:tc>
        <w:tc>
          <w:tcPr>
            <w:tcW w:type="dxa" w:w="964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SEV</w:t>
            </w:r>
          </w:p>
        </w:tc>
        <w:tc>
          <w:tcPr>
            <w:tcW w:type="dxa" w:w="964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DET</w:t>
            </w:r>
          </w:p>
        </w:tc>
        <w:tc>
          <w:tcPr>
            <w:tcW w:type="dxa" w:w="964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Риск %</w:t>
            </w:r>
          </w:p>
        </w:tc>
        <w:tc>
          <w:tcPr>
            <w:tcW w:type="dxa" w:w="964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Уровень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database server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устаревшие серверы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ransomware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88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18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wired LAN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отсутствие сегментации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lateral movement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88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персональные данные пациентов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слабые пароли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кража учётных данных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81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SQL database system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устаревшая версия СУБД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эксплуатация уязвимости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81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internal web portal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недостаточная валидация ввода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SQL injection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81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backup software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отсутствие проверки резервных копий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невозможность восстановления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81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email server software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недостаточное обучение персонала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phishing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75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17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access control readers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физический доступ к серверной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кража/повреждение оборудования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75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электронные медицинские карты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избыточные права доступа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злоупотребление привилегиями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69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doctor workstations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использование USB-носителей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malware infection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69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лабораторные результаты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отсутствие контроля целостности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ошибочное изменение данных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application server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неполное журналирование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позднее обнаружение инцидента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appointment scheduling system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нет защиты от перебора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brute force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финансовые и страховые данные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незащищённый экспорт файлов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утечка финансовой информации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50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network switches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стандартные пароли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изменение конфигурации сети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50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данные сотрудников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общие папки без ограничений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разглашение персональных данных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reception PCs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открытые рабочие сессии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доступ посторонних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CCTV cameras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необновлённая прошивка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захват видеопотока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Высокий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1E1E"/>
        </w:rPr>
        <w:t>Quantitative Risk Analysis</w:t>
      </w:r>
    </w:p>
    <w:p>
      <w:pPr>
        <w:spacing w:after="120" w:line="259" w:lineRule="auto"/>
      </w:pPr>
      <w:r>
        <w:rPr>
          <w:rFonts w:ascii="Arial" w:hAnsi="Arial"/>
          <w:sz w:val="22"/>
        </w:rPr>
        <w:t>SLE = Asset Value × Exposure Factor. ALE = SLE × ARO. Общий ожидаемый годовой ущерб по учебным сценариям: 109500.00 EUR.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Актив</w:t>
            </w:r>
          </w:p>
        </w:tc>
        <w:tc>
          <w:tcPr>
            <w:tcW w:type="dxa" w:w="1377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Угроза</w:t>
            </w:r>
          </w:p>
        </w:tc>
        <w:tc>
          <w:tcPr>
            <w:tcW w:type="dxa" w:w="1377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Стоимость</w:t>
            </w:r>
          </w:p>
        </w:tc>
        <w:tc>
          <w:tcPr>
            <w:tcW w:type="dxa" w:w="1377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EF</w:t>
            </w:r>
          </w:p>
        </w:tc>
        <w:tc>
          <w:tcPr>
            <w:tcW w:type="dxa" w:w="1377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SLE</w:t>
            </w:r>
          </w:p>
        </w:tc>
        <w:tc>
          <w:tcPr>
            <w:tcW w:type="dxa" w:w="1377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ARO</w:t>
            </w:r>
          </w:p>
        </w:tc>
        <w:tc>
          <w:tcPr>
            <w:tcW w:type="dxa" w:w="1377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ALE</w:t>
            </w:r>
          </w:p>
        </w:tc>
      </w:tr>
      <w:tr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database server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Ransomware attack on database server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120000.0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0.6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72000.0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0.7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50400.0</w:t>
            </w:r>
          </w:p>
        </w:tc>
      </w:tr>
      <w:tr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public website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DDoS attack on public website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30000.0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0.5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15000.0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1.5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22500.0</w:t>
            </w:r>
          </w:p>
        </w:tc>
      </w:tr>
      <w:tr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server room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Fire in server room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200000.0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0.9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180000.0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0.1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18000.0</w:t>
            </w:r>
          </w:p>
        </w:tc>
      </w:tr>
      <w:tr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SQL database system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Database corruption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90000.0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0.45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40500.0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0.4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16200.0</w:t>
            </w:r>
          </w:p>
        </w:tc>
      </w:tr>
      <w:tr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doctor laptop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Laptop theft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2500.0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0.8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2000.0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1.2</w:t>
            </w:r>
          </w:p>
        </w:tc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2400.0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1E1E"/>
        </w:rPr>
        <w:t>Security Policies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Политика</w:t>
            </w:r>
          </w:p>
        </w:tc>
        <w:tc>
          <w:tcPr>
            <w:tcW w:type="dxa" w:w="3213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Цель</w:t>
            </w:r>
          </w:p>
        </w:tc>
        <w:tc>
          <w:tcPr>
            <w:tcW w:type="dxa" w:w="3213"/>
            <w:vAlign w:val="center"/>
            <w:shd w:fill="EDEF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Периодичность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Политика контроля доступа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Ограничить доступ к информационным активам только уполномоченным пользователям.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раз в год или после существенного инцидента.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Политика паролей и MFA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Снизить риск компрометации учетных записей.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Каждые 6 месяцев.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Политика резервного копирования и восстановления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Обеспечить восстановление критичных данных после аварии или атаки.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раз в год.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Политика реагирования на инциденты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Определить порядок обнаружения, регистрации, эскалации и устранения инцидентов ИБ.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После каждого инцидента и не реже 1 раза в год.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Политика удалённого доступа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Защитить удаленную работу врачей и администраторов.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Каждые 6 месяцев.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Политика управления обновлениями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Своевременно устранять уязвимости ПО и инфраструктуры.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раз в год.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Политика шифрования данных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Защитить конфиденциальные данные при хранении и передаче.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раз в год или при изменении технологии.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1E1E"/>
        </w:rPr>
        <w:t>Reflection</w:t>
      </w:r>
    </w:p>
    <w:p>
      <w:pPr>
        <w:pStyle w:val="Heading2"/>
      </w:pPr>
      <w:r>
        <w:rPr>
          <w:rFonts w:ascii="Arial" w:hAnsi="Arial"/>
          <w:color w:val="1E1E1E"/>
        </w:rPr>
        <w:t>Почему полезно категоризировать активы при определении угроз и мер защиты?</w:t>
      </w:r>
    </w:p>
    <w:p>
      <w:pPr>
        <w:spacing w:after="120" w:line="259" w:lineRule="auto"/>
      </w:pPr>
      <w:r>
        <w:rPr>
          <w:rFonts w:ascii="Arial" w:hAnsi="Arial"/>
          <w:sz w:val="22"/>
        </w:rPr>
        <w:t>Категоризация помогает структурировать анализ. Для данных, программного обеспечения, оборудования и сетей характерны разные угрозы и разные меры защиты.</w:t>
      </w:r>
    </w:p>
    <w:p>
      <w:pPr>
        <w:pStyle w:val="Heading2"/>
      </w:pPr>
      <w:r>
        <w:rPr>
          <w:rFonts w:ascii="Arial" w:hAnsi="Arial"/>
          <w:color w:val="1E1E1E"/>
        </w:rPr>
        <w:t>Могут ли разные угрозы иметь одинаковые или похожие меры снижения риска?</w:t>
      </w:r>
    </w:p>
    <w:p>
      <w:pPr>
        <w:spacing w:after="120" w:line="259" w:lineRule="auto"/>
      </w:pPr>
      <w:r>
        <w:rPr>
          <w:rFonts w:ascii="Arial" w:hAnsi="Arial"/>
          <w:sz w:val="22"/>
        </w:rPr>
        <w:t>Да. Например, MFA снижает риск кражи учетных данных для VPN, почты и внутренних систем. Резервное копирование помогает при ransomware, ошибках персонала и сбоях оборудования.</w:t>
      </w:r>
    </w:p>
    <w:p>
      <w:pPr>
        <w:pStyle w:val="Heading2"/>
      </w:pPr>
      <w:r>
        <w:rPr>
          <w:rFonts w:ascii="Arial" w:hAnsi="Arial"/>
          <w:color w:val="1E1E1E"/>
        </w:rPr>
        <w:t>Что показывает применение знаний о киберугрозах к смоделированной организации?</w:t>
      </w:r>
    </w:p>
    <w:p>
      <w:pPr>
        <w:spacing w:after="120" w:line="259" w:lineRule="auto"/>
      </w:pPr>
      <w:r>
        <w:rPr>
          <w:rFonts w:ascii="Arial" w:hAnsi="Arial"/>
          <w:sz w:val="22"/>
        </w:rPr>
        <w:t>Проект показывает, что защита организации требует комплекса технических, административных и физических мер, регулярной оценки рисков, обучения персонала, мониторинга и реагирования на инциденты.</w:t>
      </w:r>
    </w:p>
    <w:p>
      <w:pPr>
        <w:pStyle w:val="Heading1"/>
      </w:pPr>
      <w:r>
        <w:rPr>
          <w:rFonts w:ascii="Arial" w:hAnsi="Arial"/>
          <w:color w:val="1E1E1E"/>
        </w:rPr>
        <w:t>Conclusion</w:t>
      </w:r>
    </w:p>
    <w:p>
      <w:pPr>
        <w:spacing w:after="120" w:line="259" w:lineRule="auto"/>
      </w:pPr>
      <w:r>
        <w:rPr>
          <w:rFonts w:ascii="Arial" w:hAnsi="Arial"/>
          <w:sz w:val="22"/>
        </w:rPr>
        <w:t>В результате была разработана учебная модель ISMS для ООО «MediNova Clinic». Отчет демонстрирует полный цикл анализа: описание организации, определение активов, угроз и уязвимостей, оценку рисков по ISO 27005, выбор контролей, разработку политик и формирование рекомендаций.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5A5A5A"/>
        <w:sz w:val="16"/>
      </w:rPr>
      <w:t>TSI · ISO 27001 / ISO 27005 · MediNova Clinic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1E1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1E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E1E1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E1E1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менеджмента информационной безопасности для ООО «MediNova Clinic»</dc:title>
  <dc:subject/>
  <dc:creator>Alina Bocearova, Elepin Vladislav, Igor Tiora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