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Table S1. Clinical and demographic characteristics of the study cohort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nil"/>
          <w:bottom w:val="single" w:sz="4" w:space="0" w:color="B7B7B7"/>
          <w:right w:val="nil"/>
          <w:insideH w:val="single" w:sz="4" w:space="0" w:color="B7B7B7"/>
          <w:insideV w:val="nil"/>
        </w:tblBorders>
      </w:tblPr>
      <w:tblGrid>
        <w:gridCol w:w="3139"/>
        <w:gridCol w:w="2951"/>
        <w:gridCol w:w="2476"/>
        <w:gridCol w:w="2620"/>
        <w:gridCol w:w="2779"/>
      </w:tblGrid>
      <w:tr>
        <w:trPr>
          <w:tblHeader w:val="true"/>
        </w:trPr>
        <w:tc>
          <w:tcPr>
            <w:tcW w:type="dxa" w:w="3139"/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Characteristic</w:t>
            </w:r>
          </w:p>
        </w:tc>
        <w:tc>
          <w:tcPr>
            <w:tcW w:type="dxa" w:w="2951"/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Overall</w:t>
              <w:br/>
              <w:t>(N=249)</w:t>
            </w:r>
          </w:p>
        </w:tc>
        <w:tc>
          <w:tcPr>
            <w:tcW w:type="dxa" w:w="2476"/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Control</w:t>
              <w:br/>
              <w:t>(n=35)</w:t>
            </w:r>
          </w:p>
        </w:tc>
        <w:tc>
          <w:tcPr>
            <w:tcW w:type="dxa" w:w="2620"/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UC</w:t>
              <w:br/>
              <w:t>(n=87)</w:t>
            </w:r>
          </w:p>
        </w:tc>
        <w:tc>
          <w:tcPr>
            <w:tcW w:type="dxa" w:w="2779"/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single" w:sz="10" w:space="0" w:color="000000"/>
              <w:bottom w:val="single" w:sz="8" w:space="0" w:color="00000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CD</w:t>
              <w:br/>
              <w:t>(n=127)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Patients, n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249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87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127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Age, years, median [IQR] (range)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37.0 [28.0, 49.0] (6.0-79.0)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48.0 [45.0, 54.0] (15.0-66.0)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37.0 [30.5, 45.5] (21.0-77.0)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33.0 [24.5, 47.0] (6.0-79.0)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Sex, n (%)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133 (53.4%)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 (51.4%)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39 (44.8%)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76 (59.8%)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116 (46.6%)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17 (48.6%)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48 (55.2%)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51 (40.2%)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Diagnosis, n (%)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Control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35 (14.1%)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35 (100.0%)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UC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87 (34.9%)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87 (100.0%)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CD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127 (51.0%)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127 (100.0%)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Disease subtype, n (%)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Control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35 (14.1%)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35 (100.0%)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Distal-UC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 (0.8%)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 (2.3%)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Leftsided-UC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 (4.0%)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 (11.5%)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Extensive-UC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75 (30.1%)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75 (86.2%)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>
              <w:t>CD-Colonic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t>23 (9.2%)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t>0 (0.0%)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t>0 (0.0%)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t>23 (18.1%)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>
              <w:t>CD-Ileal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t>14 (5.6%)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t>0 (0.0%)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t>0 (0.0%)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t>14 (11.0%)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>
              <w:t>Ileocolonic-CD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t>90 (36.1%)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t>0 (0.0%)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t>0 (0.0%)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t>90 (70.9%)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Inflammation status, n (%)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Inflamed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129 (51.8%)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57 (65.5%)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72 (56.7%)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Noninflamed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120 (48.2%)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35 (100.0%)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30 (34.5%)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55 (43.3%)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Inflammation category, n (%)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Control-Noninflamed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35 (14.1%)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35 (100.0%)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UC-Inflamed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56 (22.5%)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56 (64.4%)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UC-Noninflamed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29 (11.6%)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29 (33.3%)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CD-Inflamed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74 (29.7%)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74 (58.3%)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CD-Noninflamed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55 (22.1%)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 (2.3%)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53 (41.7%)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Medication, n (%)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Adalimumab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23 (9.2%)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 (4.6%)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 (15.0%)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Budesonide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 (0.4%)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 (0.8%)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Golimumab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 (2.4%)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 (2.3%)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 (3.1%)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Infliximab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48 (19.3%)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17 (19.5%)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31 (24.4%)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Mercaptopurine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 (0.8%)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 (2.3%)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Mesalamine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30 (12.0%)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 (20.7%)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 (9.4%)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Prednisone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 (0.8%)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 (2.3%)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Upadacitinib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 (0.4%)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 (0.0%)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 (0.8%)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Ustekinumab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38 (15.3%)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 (6.9%)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32 (25.2%)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Vedolizumab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29 (11.6%)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16 (18.4%)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13 (10.2%)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CRP, median [IQR] (n)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0.3 [0.2, 0.8] (n=218)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0.2 [0.1, 0.2] (n=24)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0.3 [0.1, 0.5] (n=67)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0.4 [0.3, 1.1] (n=127)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Fecal calprotectin, median [IQR] (n)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125.0 [16.0, 798.0] (n=249)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10.0 [8.0, 10.0] (n=35)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329.0 [51.0, 1137.5] (n=87)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195.0 [34.5, 818.0] (n=127)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Biologic class, n (%)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single" w:sz="4" w:space="0" w:color="777777"/>
              <w:bottom w:val="single" w:sz="4" w:space="0" w:color="D0D0D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16"/>
              </w:rPr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AntiTNF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85 (34.1%)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32 (36.8%)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53 (41.7%)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Ustekinumab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38 (15.3%)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 (6.9%)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2" w:space="0" w:color="E5E5E5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32 (25.2%)</w:t>
            </w:r>
          </w:p>
        </w:tc>
      </w:tr>
      <w:tr>
        <w:trPr>
          <w:trHeight w:hRule="auto"/>
        </w:trPr>
        <w:tc>
          <w:tcPr>
            <w:tcW w:type="dxa" w:w="3139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8" w:space="0" w:color="000000"/>
              <w:left w:val="nil"/>
              <w:right w:val="nil"/>
            </w:tcBorders>
          </w:tcPr>
          <w:p>
            <w:pPr>
              <w:spacing w:before="0" w:after="0" w:line="240" w:lineRule="auto"/>
              <w:ind w:left="173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Vedolizumab</w:t>
            </w:r>
          </w:p>
        </w:tc>
        <w:tc>
          <w:tcPr>
            <w:tcW w:type="dxa" w:w="2951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8" w:space="0" w:color="00000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35 (14.1%)</w:t>
            </w:r>
          </w:p>
        </w:tc>
        <w:tc>
          <w:tcPr>
            <w:tcW w:type="dxa" w:w="2476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8" w:space="0" w:color="00000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2620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8" w:space="0" w:color="00000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 (23.0%)</w:t>
            </w:r>
          </w:p>
        </w:tc>
        <w:tc>
          <w:tcPr>
            <w:tcW w:type="dxa" w:w="2779"/>
            <w:tcMar>
              <w:top w:w="60" w:type="dxa"/>
              <w:bottom w:w="60" w:type="dxa"/>
              <w:start w:w="80" w:type="dxa"/>
              <w:end w:w="80" w:type="dxa"/>
            </w:tcMar>
            <w:tcBorders>
              <w:top w:val="nil"/>
              <w:bottom w:val="single" w:sz="8" w:space="0" w:color="000000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15 (11.8%)</w:t>
            </w:r>
          </w:p>
        </w:tc>
      </w:tr>
    </w:tbl>
    <w:p>
      <w:pPr>
        <w:spacing w:before="40" w:after="0" w:line="240" w:lineRule="auto"/>
      </w:pPr>
      <w:r>
        <w:rPr>
          <w:rFonts w:ascii="Times New Roman" w:hAnsi="Times New Roman"/>
          <w:sz w:val="16"/>
        </w:rPr>
        <w:t>Values are n (%) unless otherwise indicated. Continuous variables are shown as median [IQR]; age also includes range.</w:t>
      </w:r>
    </w:p>
    <w:p>
      <w:pPr>
        <w:spacing w:before="0" w:after="0" w:line="240" w:lineRule="auto"/>
      </w:pPr>
      <w:r>
        <w:rPr>
          <w:rFonts w:ascii="Times New Roman" w:hAnsi="Times New Roman"/>
          <w:sz w:val="16"/>
        </w:rPr>
        <w:t>Percentages use the patient-level denominator for each column. CRP values were available for 218 patients overall (Control n=24, UC n=67, CD n=127).</w:t>
      </w:r>
    </w:p>
    <w:p>
      <w:pPr>
        <w:spacing w:before="0" w:after="0" w:line="240" w:lineRule="auto"/>
      </w:pPr>
      <w:r>
        <w:rPr>
          <w:rFonts w:ascii="Times New Roman" w:hAnsi="Times New Roman"/>
          <w:sz w:val="16"/>
        </w:rPr>
        <w:t>Medication and biologic entries reflect the source metadata columns Medication and Biologic. Missing source metadata: Medication n=69; Biologic n=91.</w:t>
      </w:r>
    </w:p>
    <w:p>
      <w:pPr>
        <w:spacing w:before="0" w:after="0" w:line="240" w:lineRule="auto"/>
      </w:pPr>
      <w:r>
        <w:rPr>
          <w:rFonts w:ascii="Times New Roman" w:hAnsi="Times New Roman"/>
          <w:sz w:val="16"/>
        </w:rPr>
        <w:t>Crohn's disease subtype labels were harmonized by consolidating equivalent source categories into CD-Colonic, CD-Ileal, and Ileocolonic-CD. Inflammation2 labels were preserved from the source metadata without recoding.</w:t>
      </w:r>
    </w:p>
    <w:sectPr w:rsidR="00FC693F" w:rsidRPr="0006063C" w:rsidSect="00034616">
      <w:pgSz w:w="15840" w:h="12240" w:orient="landscape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