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114" w:rsidRPr="00995114" w:rsidRDefault="00995114" w:rsidP="00995114">
      <w:pPr>
        <w:shd w:val="clear" w:color="auto" w:fill="FFFFFF"/>
        <w:spacing w:before="100" w:beforeAutospacing="1" w:after="300" w:line="240" w:lineRule="auto"/>
        <w:jc w:val="center"/>
        <w:rPr>
          <w:rFonts w:eastAsia="Times New Roman" w:cstheme="minorHAnsi"/>
          <w:color w:val="444444"/>
          <w:sz w:val="24"/>
          <w:szCs w:val="24"/>
          <w:lang w:eastAsia="id-ID"/>
        </w:rPr>
      </w:pPr>
      <w:r w:rsidRPr="00995114">
        <w:rPr>
          <w:rFonts w:eastAsia="Times New Roman" w:cstheme="minorHAnsi"/>
          <w:b/>
          <w:bCs/>
          <w:color w:val="444444"/>
          <w:sz w:val="24"/>
          <w:szCs w:val="24"/>
          <w:lang w:eastAsia="id-ID"/>
        </w:rPr>
        <w:t>Landasan Penyelenggaraan Pendidikan Inklusif</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Landasan yang digunakan dalam penyelenggaraan pendidikan inklusif di Indonesia yaitu landasan filosofis, landasan yuridis, dan landasan empiris. Secara terperinci, landasan-landasan tersebut dijelaskan sebagai berikut:</w:t>
      </w:r>
    </w:p>
    <w:p w:rsidR="00995114" w:rsidRPr="00995114" w:rsidRDefault="00995114" w:rsidP="00995114">
      <w:pPr>
        <w:numPr>
          <w:ilvl w:val="0"/>
          <w:numId w:val="1"/>
        </w:numPr>
        <w:shd w:val="clear" w:color="auto" w:fill="FFFFFF"/>
        <w:spacing w:before="100" w:beforeAutospacing="1" w:after="100" w:afterAutospacing="1" w:line="240" w:lineRule="auto"/>
        <w:ind w:left="284"/>
        <w:jc w:val="both"/>
        <w:rPr>
          <w:rFonts w:eastAsia="Times New Roman" w:cstheme="minorHAnsi"/>
          <w:b/>
          <w:bCs/>
          <w:color w:val="444444"/>
          <w:sz w:val="24"/>
          <w:szCs w:val="24"/>
          <w:lang w:eastAsia="id-ID"/>
        </w:rPr>
      </w:pPr>
      <w:r w:rsidRPr="00995114">
        <w:rPr>
          <w:rFonts w:eastAsia="Times New Roman" w:cstheme="minorHAnsi"/>
          <w:b/>
          <w:bCs/>
          <w:color w:val="444444"/>
          <w:sz w:val="24"/>
          <w:szCs w:val="24"/>
          <w:lang w:eastAsia="id-ID"/>
        </w:rPr>
        <w:t>Landasan Filosofis</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Secara filosofis, penyelenggaraan pendidikan inklusif dapat dijelaskan sebagai berikut: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1)   Bangsa Indonesia adalah bangsa yang berbudaya dengan lambang negara Burung Garuda yang berarti Bhinneka Tunggal Ika. Keragaman dalam etnik, dialek, adat istiadat, keyakinan, tradisi dan budaya merupakan kekayaan bangsa yang tetap menjunjung tinggi persatuan dan kesatuan dalam Negara Kesatuan Republik Indonesia (NKRI)</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2)   Pandangan Agama (khususnya Islam) antara lain ditegaskan bahwa: (a) manusia diciptakan berbeda-beda untuk saling silaturahmi (inklusif) dan bahwa kemuliaan manusia di sisi Allah adalah ketaqwaannya. Hal tersebut dinyatakan dalam Al Qur’an sebagai berikut: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i/>
          <w:iCs/>
          <w:color w:val="444444"/>
          <w:sz w:val="24"/>
          <w:szCs w:val="24"/>
          <w:lang w:eastAsia="id-ID"/>
        </w:rPr>
        <w:t>Hai manusia, Sesungguhnya Kami menciptakan kamu dari seorang laki-laki dan seorang perempuan dan menjadikan kamu berbangsa – bangsa dan bersuku-suku supaya kamu saling kenal-mengenal. Sesungguhnya orang yang paling mulia diantara kamu disisi Allah ialah orang yang paling taqwa diantara kamu. Sesungguhnya Allah Maha mengetahui lagi Maha Mengenal</w:t>
      </w:r>
      <w:hyperlink r:id="rId6" w:anchor="_ftn12" w:history="1">
        <w:r w:rsidRPr="00995114">
          <w:rPr>
            <w:rFonts w:eastAsia="Times New Roman" w:cstheme="minorHAnsi"/>
            <w:b/>
            <w:bCs/>
            <w:i/>
            <w:iCs/>
            <w:color w:val="1E8BC3"/>
            <w:sz w:val="24"/>
            <w:szCs w:val="24"/>
            <w:u w:val="single"/>
            <w:lang w:eastAsia="id-ID"/>
          </w:rPr>
          <w:t>[12]</w:t>
        </w:r>
      </w:hyperlink>
      <w:r w:rsidRPr="00995114">
        <w:rPr>
          <w:rFonts w:eastAsia="Times New Roman" w:cstheme="minorHAnsi"/>
          <w:i/>
          <w:iCs/>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(b)Allah pernah menegur Nabi Muhammad SAW karena beliau bermuka masam dan berpaling dari orang buta. Al Qur’an menceritakan kisah tersebut sebagai berikut: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i/>
          <w:iCs/>
          <w:color w:val="444444"/>
          <w:sz w:val="24"/>
          <w:szCs w:val="24"/>
          <w:lang w:eastAsia="id-ID"/>
        </w:rPr>
        <w:t>(1)Dia (Muhammad) bermuka masam dan berpaling, (2)karena telah datang seorang buta kepadanya, (3)tahukah kamu barangkali ia ingin membersihkan dirinya (dari dosa), (4)atau Dia (ingin) mendapatkan pengajaran, lalu pengajaran itu memberi manfaat kepadanya?(5)Adapun orang yang merasa dirinya serba cukup, (6)Maka kamu melayaninya, (7)Padahal tidak ada (celaan) atasmu kalau Dia tidak membersihkan diri (beriman), (8)dan Adapun orang yang datang kepadamu dengan bersegera (untuk mendapatkan pengajaran), (9)sedang ia takut kepada (Allah), (10)Maka kamu mengabaikannya, (11)sekali-kali jangan (demikian)! Sesungguhnya ajaran-ajaran Tuhan itu adalah suatu peringatan, (12)Maka Barangsiapa yang menghendaki, tentulah ia memperhatikannya, (13)di dalam Kitab-Kitab yang dimuliakan, (14)yang ditinggikan lagi disucikan, (15)di tangan Para penulis (malaikat), (16)yang mulia lagi berbakti</w:t>
      </w:r>
      <w:hyperlink r:id="rId7" w:anchor="_ftn13" w:history="1">
        <w:r w:rsidRPr="00995114">
          <w:rPr>
            <w:rFonts w:eastAsia="Times New Roman" w:cstheme="minorHAnsi"/>
            <w:b/>
            <w:bCs/>
            <w:i/>
            <w:iCs/>
            <w:color w:val="1E8BC3"/>
            <w:sz w:val="24"/>
            <w:szCs w:val="24"/>
            <w:u w:val="single"/>
            <w:lang w:eastAsia="id-ID"/>
          </w:rPr>
          <w:t>[13]</w:t>
        </w:r>
      </w:hyperlink>
      <w:r w:rsidRPr="00995114">
        <w:rPr>
          <w:rFonts w:eastAsia="Times New Roman" w:cstheme="minorHAnsi"/>
          <w:i/>
          <w:iCs/>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(c) Allah tidak melihat bentuk (fisik) seorang muslim, namun Allah melihat hati dan perbuatannya. Hal ini dinyatakan dalam salah satu hadis yang diriwayatkan oleh Imam Muslim, yaitu:</w:t>
      </w:r>
    </w:p>
    <w:p w:rsidR="00995114" w:rsidRPr="00995114" w:rsidRDefault="00995114" w:rsidP="00995114">
      <w:pPr>
        <w:shd w:val="clear" w:color="auto" w:fill="FFFFFF"/>
        <w:bidi/>
        <w:spacing w:before="100" w:beforeAutospacing="1" w:after="300" w:line="240" w:lineRule="auto"/>
        <w:jc w:val="both"/>
        <w:rPr>
          <w:rFonts w:eastAsia="Times New Roman" w:cstheme="minorHAnsi"/>
          <w:color w:val="444444"/>
          <w:sz w:val="24"/>
          <w:szCs w:val="24"/>
          <w:lang w:eastAsia="id-ID"/>
        </w:rPr>
      </w:pPr>
      <w:r w:rsidRPr="00995114">
        <w:rPr>
          <w:rFonts w:ascii="Arial" w:eastAsia="Times New Roman" w:hAnsi="Arial" w:cs="Arial" w:hint="cs"/>
          <w:color w:val="444444"/>
          <w:sz w:val="24"/>
          <w:szCs w:val="24"/>
          <w:rtl/>
          <w:lang w:eastAsia="id-ID"/>
        </w:rPr>
        <w:t>حَدَّثَنَا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عَمْرٌو</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النَّاقِدُ</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حَدَّثَنَا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كَثِيرُ</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بْنُ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هِشَامٍ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حَدَّثَنَا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جَعْفَرُ</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بْنُ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بُرْقَانَ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يَزِيدَ</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بْنِ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الأَصَمِّ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أَبِى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هُرَيْرَةَ</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قَالَ</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قَالَ</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رَسُولُ</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اللَّهِ</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صلى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الله</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عليه</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وسلم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إِنَّ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اللَّهَ</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لاَ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يَنْظُرُ</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إِلَى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صُوَرِكُمْ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وَأَمْوَالِكُمْ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وَلَكِنْ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يَنْظُرُ</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إِلَى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قُلُوبِكُمْ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وَأَعْمَالِكُمْ</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rtl/>
          <w:lang w:eastAsia="id-ID"/>
        </w:rPr>
      </w:pPr>
      <w:r w:rsidRPr="00995114">
        <w:rPr>
          <w:rFonts w:eastAsia="Times New Roman" w:cstheme="minorHAnsi"/>
          <w:i/>
          <w:iCs/>
          <w:color w:val="444444"/>
          <w:sz w:val="24"/>
          <w:szCs w:val="24"/>
          <w:lang w:eastAsia="id-ID"/>
        </w:rPr>
        <w:lastRenderedPageBreak/>
        <w:t>Artinya: dari Abu Hurairah RA: Rasulullah SAW bersabda: Sesungguhnya Allah tidak melihat kepada bentuk dan harta kalian, akan tetapi Allah melihat kepada hati dan perbuatan kalian</w:t>
      </w:r>
      <w:hyperlink r:id="rId8" w:anchor="_ftn14" w:history="1">
        <w:r w:rsidRPr="00995114">
          <w:rPr>
            <w:rFonts w:eastAsia="Times New Roman" w:cstheme="minorHAnsi"/>
            <w:b/>
            <w:bCs/>
            <w:i/>
            <w:iCs/>
            <w:color w:val="1E8BC3"/>
            <w:sz w:val="24"/>
            <w:szCs w:val="24"/>
            <w:u w:val="single"/>
            <w:lang w:eastAsia="id-ID"/>
          </w:rPr>
          <w:t>[14]</w:t>
        </w:r>
      </w:hyperlink>
      <w:r w:rsidRPr="00995114">
        <w:rPr>
          <w:rFonts w:eastAsia="Times New Roman" w:cstheme="minorHAnsi"/>
          <w:i/>
          <w:iCs/>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(d)Tidak ada keutamaan antara satu manusia dengan manusia yang lain. Nabi Muhammad mengajarkan hal tersebut dalam hadis:</w:t>
      </w:r>
    </w:p>
    <w:p w:rsidR="00995114" w:rsidRPr="00995114" w:rsidRDefault="00995114" w:rsidP="00995114">
      <w:pPr>
        <w:shd w:val="clear" w:color="auto" w:fill="FFFFFF"/>
        <w:bidi/>
        <w:spacing w:before="100" w:beforeAutospacing="1" w:after="300" w:line="240" w:lineRule="auto"/>
        <w:jc w:val="both"/>
        <w:rPr>
          <w:rFonts w:eastAsia="Times New Roman" w:cstheme="minorHAnsi"/>
          <w:color w:val="444444"/>
          <w:sz w:val="24"/>
          <w:szCs w:val="24"/>
          <w:lang w:eastAsia="id-ID"/>
        </w:rPr>
      </w:pPr>
      <w:r w:rsidRPr="00995114">
        <w:rPr>
          <w:rFonts w:ascii="Arial" w:eastAsia="Times New Roman" w:hAnsi="Arial" w:cs="Arial" w:hint="cs"/>
          <w:color w:val="444444"/>
          <w:sz w:val="24"/>
          <w:szCs w:val="24"/>
          <w:rtl/>
          <w:lang w:eastAsia="id-ID"/>
        </w:rPr>
        <w:t>حَدَّثَنَا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إِسْمَاعِيلُ</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حَدَّثَنَا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سَعِيدٌ</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الْجُرَيْرِيُّ</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أَبِي</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نَضْرَةَ</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حَدَّثَنِي</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مَنْ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سَمِعَ</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خُطْبَةَ</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رَسُولِ</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اللَّهِ</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صَلَّى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اللَّهُ</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عَلَيْهِ</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وَسَلَّمَ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فِي</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وَسَطِ</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أَيَّامِ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التَّشْرِيقِ</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فَقَالَ</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يَا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أَيُّهَا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النَّاسُ</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أَلَا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إِنَّ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رَبَّكُمْ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وَاحِدٌ</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وَإِنَّ</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أَبَاكُمْ</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وَاحِدٌ</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أَلَا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لَا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فَضْلَ</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لِعَرَبِيٍّ</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عَلَى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أَعْجَمِيٍّ</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وَلَا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لِعَجَمِيٍّ</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عَلَى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عَرَبِيٍّ</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وَلَا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لِأَحْمَرَ</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عَلَى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أَسْوَدَ</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وَلَا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أَسْوَدَ</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عَلَى</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أَحْمَرَ</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إِلَّا</w:t>
      </w:r>
      <w:r w:rsidRPr="00995114">
        <w:rPr>
          <w:rFonts w:eastAsia="Times New Roman" w:cstheme="minorHAnsi"/>
          <w:color w:val="444444"/>
          <w:sz w:val="24"/>
          <w:szCs w:val="24"/>
          <w:rtl/>
          <w:lang w:eastAsia="id-ID"/>
        </w:rPr>
        <w:t xml:space="preserve"> </w:t>
      </w:r>
      <w:r w:rsidRPr="00995114">
        <w:rPr>
          <w:rFonts w:ascii="Arial" w:eastAsia="Times New Roman" w:hAnsi="Arial" w:cs="Arial" w:hint="cs"/>
          <w:color w:val="444444"/>
          <w:sz w:val="24"/>
          <w:szCs w:val="24"/>
          <w:rtl/>
          <w:lang w:eastAsia="id-ID"/>
        </w:rPr>
        <w:t>بِالتَّقْوَى</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rtl/>
          <w:lang w:eastAsia="id-ID"/>
        </w:rPr>
      </w:pPr>
      <w:r w:rsidRPr="00995114">
        <w:rPr>
          <w:rFonts w:eastAsia="Times New Roman" w:cstheme="minorHAnsi"/>
          <w:i/>
          <w:iCs/>
          <w:color w:val="444444"/>
          <w:sz w:val="24"/>
          <w:szCs w:val="24"/>
          <w:lang w:eastAsia="id-ID"/>
        </w:rPr>
        <w:t>Artinya: Seseorang yang mendengar khutbah Rasulullah SAW di tengah hari Tasyriq bercerita kepadaku bahwa Nabi Muhammad SAW bersabda: Wahai manusia, sungguh Tuhan kalian itu satu, bapak kalian satu, maka sungguh tidak ada keutamaan orang Arab atas orang ‘Ajam, begitu pula sebaliknya, tidak ada keutamaan yang merah atas yang hitam, begitu pula sebaliknya, kecuali taqwa</w:t>
      </w:r>
      <w:hyperlink r:id="rId9" w:anchor="_ftn15" w:history="1">
        <w:r w:rsidRPr="00995114">
          <w:rPr>
            <w:rFonts w:eastAsia="Times New Roman" w:cstheme="minorHAnsi"/>
            <w:b/>
            <w:bCs/>
            <w:i/>
            <w:iCs/>
            <w:color w:val="1E8BC3"/>
            <w:sz w:val="24"/>
            <w:szCs w:val="24"/>
            <w:u w:val="single"/>
            <w:lang w:eastAsia="id-ID"/>
          </w:rPr>
          <w:t>[15]</w:t>
        </w:r>
      </w:hyperlink>
      <w:r w:rsidRPr="00995114">
        <w:rPr>
          <w:rFonts w:eastAsia="Times New Roman" w:cstheme="minorHAnsi"/>
          <w:i/>
          <w:iCs/>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3)   Pandangan universal hak asasi manusia menyatakan bahwa setiap manusia mempunyai hak untuk hidup layak, hak pendidikan, hak kesehatan, dan hak pekerjaan.</w:t>
      </w:r>
    </w:p>
    <w:p w:rsidR="00995114" w:rsidRPr="00995114" w:rsidRDefault="00995114" w:rsidP="00995114">
      <w:pPr>
        <w:pStyle w:val="ListParagraph"/>
        <w:numPr>
          <w:ilvl w:val="0"/>
          <w:numId w:val="1"/>
        </w:numPr>
        <w:shd w:val="clear" w:color="auto" w:fill="FFFFFF"/>
        <w:tabs>
          <w:tab w:val="clear" w:pos="720"/>
          <w:tab w:val="num" w:pos="567"/>
        </w:tabs>
        <w:spacing w:before="100" w:beforeAutospacing="1" w:after="300" w:line="240" w:lineRule="auto"/>
        <w:ind w:left="426" w:hanging="426"/>
        <w:jc w:val="both"/>
        <w:rPr>
          <w:rFonts w:eastAsia="Times New Roman" w:cstheme="minorHAnsi"/>
          <w:b/>
          <w:bCs/>
          <w:color w:val="444444"/>
          <w:sz w:val="24"/>
          <w:szCs w:val="24"/>
          <w:lang w:eastAsia="id-ID"/>
        </w:rPr>
      </w:pPr>
      <w:r w:rsidRPr="00995114">
        <w:rPr>
          <w:rFonts w:eastAsia="Times New Roman" w:cstheme="minorHAnsi"/>
          <w:b/>
          <w:bCs/>
          <w:color w:val="444444"/>
          <w:sz w:val="24"/>
          <w:szCs w:val="24"/>
          <w:lang w:eastAsia="id-ID"/>
        </w:rPr>
        <w:t>Landasan Yuridis</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Secara yuridis, pendidikan inklusif dilaksanakan berdasarkan atas:</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1)   UUD 1945</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2)   UU Nomor 4 Tahun 1997 Tentang Penyandang Cacat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3)   UU Nomor 39 Tahun 1999 Tentang Hak Asasi Manusia</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4)   UU Nomor 23 Tahun 2002 Tentang Perlindungan Anak</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5)   UU Nomor 20 Tahun 2003 Tentang Sistem Pendidikan Nasional</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6)   Peraturan Pemerintah Nomor 19 Tahun 2005 Tentang Standar Nasional Pendidikan</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7)   Surat Edaran Dirjen Dikdasmen No. 380/C.C6/MN/2003 Tanggal 20 Januari 2003 Perihal Pendidikan Inklusif: Menyelenggarakan dan mengembangkan di setiap Kabupaten/Kota sekurang-kurangnya 4 (empat) sekolah yang terdiri dari SD, SMP, SMA, dan SMK.</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8)   Peraturan Menteri Pendidikan Nasional Republik Indonesia Nomor 70 tahun 2009 Tentang Pendidikan Inklusif bagi Peserta Didik yang Memiliki Kelainan dan Memiliki Potensi Kecerdasan dan/atau Bakat Istimewa</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Khusus untuk DKI Jakarta, landasan yuridis yang berlaku yaitu:</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lastRenderedPageBreak/>
        <w:t>9)   Peraturan Gubernur Nomor 116 Tahun 2007 Tentang Penyelenggaraan Pendidikan Inklusif</w:t>
      </w:r>
    </w:p>
    <w:p w:rsidR="00995114" w:rsidRPr="00995114" w:rsidRDefault="00995114" w:rsidP="00995114">
      <w:pPr>
        <w:pStyle w:val="ListParagraph"/>
        <w:numPr>
          <w:ilvl w:val="0"/>
          <w:numId w:val="1"/>
        </w:numPr>
        <w:shd w:val="clear" w:color="auto" w:fill="FFFFFF"/>
        <w:tabs>
          <w:tab w:val="clear" w:pos="720"/>
          <w:tab w:val="num" w:pos="284"/>
        </w:tabs>
        <w:spacing w:before="100" w:beforeAutospacing="1" w:after="300" w:line="240" w:lineRule="auto"/>
        <w:ind w:left="426" w:hanging="426"/>
        <w:jc w:val="both"/>
        <w:rPr>
          <w:rFonts w:eastAsia="Times New Roman" w:cstheme="minorHAnsi"/>
          <w:b/>
          <w:bCs/>
          <w:color w:val="444444"/>
          <w:sz w:val="24"/>
          <w:szCs w:val="24"/>
          <w:lang w:eastAsia="id-ID"/>
        </w:rPr>
      </w:pPr>
      <w:r w:rsidRPr="00995114">
        <w:rPr>
          <w:rFonts w:eastAsia="Times New Roman" w:cstheme="minorHAnsi"/>
          <w:b/>
          <w:bCs/>
          <w:color w:val="444444"/>
          <w:sz w:val="24"/>
          <w:szCs w:val="24"/>
          <w:lang w:eastAsia="id-ID"/>
        </w:rPr>
        <w:t>Landasan Empiris</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Landasan empiris yang dipakai dalam pelaksanaan pendidikan inklusif yaitu:</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1)   Deklarasi Hak Asasi Manusia 1948 (</w:t>
      </w:r>
      <w:r w:rsidRPr="00995114">
        <w:rPr>
          <w:rFonts w:eastAsia="Times New Roman" w:cstheme="minorHAnsi"/>
          <w:i/>
          <w:iCs/>
          <w:color w:val="444444"/>
          <w:sz w:val="24"/>
          <w:szCs w:val="24"/>
          <w:lang w:eastAsia="id-ID"/>
        </w:rPr>
        <w:t>Declaration of Human Rights</w:t>
      </w:r>
      <w:r w:rsidRPr="00995114">
        <w:rPr>
          <w:rFonts w:eastAsia="Times New Roman" w:cstheme="minorHAnsi"/>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2)   Konvensi Hak Anak 1989 (</w:t>
      </w:r>
      <w:r w:rsidRPr="00995114">
        <w:rPr>
          <w:rFonts w:eastAsia="Times New Roman" w:cstheme="minorHAnsi"/>
          <w:i/>
          <w:iCs/>
          <w:color w:val="444444"/>
          <w:sz w:val="24"/>
          <w:szCs w:val="24"/>
          <w:lang w:eastAsia="id-ID"/>
        </w:rPr>
        <w:t>Convention of The Rights of Children</w:t>
      </w:r>
      <w:r w:rsidRPr="00995114">
        <w:rPr>
          <w:rFonts w:eastAsia="Times New Roman" w:cstheme="minorHAnsi"/>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3)   Konferensi Dunia Tentang Pendidikan untuk Semua 1990 (</w:t>
      </w:r>
      <w:r w:rsidRPr="00995114">
        <w:rPr>
          <w:rFonts w:eastAsia="Times New Roman" w:cstheme="minorHAnsi"/>
          <w:i/>
          <w:iCs/>
          <w:color w:val="444444"/>
          <w:sz w:val="24"/>
          <w:szCs w:val="24"/>
          <w:lang w:eastAsia="id-ID"/>
        </w:rPr>
        <w:t>World Conference on Education for All</w:t>
      </w:r>
      <w:r w:rsidRPr="00995114">
        <w:rPr>
          <w:rFonts w:eastAsia="Times New Roman" w:cstheme="minorHAnsi"/>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4)   Resolusi PBB nomor 48/96 Tahun 1993 Tentang Persamaan Kesempatan Bagi Orang Berkelainan (</w:t>
      </w:r>
      <w:r w:rsidRPr="00995114">
        <w:rPr>
          <w:rFonts w:eastAsia="Times New Roman" w:cstheme="minorHAnsi"/>
          <w:i/>
          <w:iCs/>
          <w:color w:val="444444"/>
          <w:sz w:val="24"/>
          <w:szCs w:val="24"/>
          <w:lang w:eastAsia="id-ID"/>
        </w:rPr>
        <w:t>the standard rules on the equalization of opportunitites for person with dissabilities</w:t>
      </w:r>
      <w:r w:rsidRPr="00995114">
        <w:rPr>
          <w:rFonts w:eastAsia="Times New Roman" w:cstheme="minorHAnsi"/>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5)   Pernyataan Salamanca Tentang Pendidikan Inklusi 1994 (</w:t>
      </w:r>
      <w:r w:rsidRPr="00995114">
        <w:rPr>
          <w:rFonts w:eastAsia="Times New Roman" w:cstheme="minorHAnsi"/>
          <w:i/>
          <w:iCs/>
          <w:color w:val="444444"/>
          <w:sz w:val="24"/>
          <w:szCs w:val="24"/>
          <w:lang w:eastAsia="id-ID"/>
        </w:rPr>
        <w:t>Salamanca Statement on Inclusive Education</w:t>
      </w:r>
      <w:r w:rsidRPr="00995114">
        <w:rPr>
          <w:rFonts w:eastAsia="Times New Roman" w:cstheme="minorHAnsi"/>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6)   Komitmen Dakar mengenai Pendidikan Untuk Semua 2000 (</w:t>
      </w:r>
      <w:r w:rsidRPr="00995114">
        <w:rPr>
          <w:rFonts w:eastAsia="Times New Roman" w:cstheme="minorHAnsi"/>
          <w:i/>
          <w:iCs/>
          <w:color w:val="444444"/>
          <w:sz w:val="24"/>
          <w:szCs w:val="24"/>
          <w:lang w:eastAsia="id-ID"/>
        </w:rPr>
        <w:t>The Dakar Commitment on Education for All</w:t>
      </w:r>
      <w:r w:rsidRPr="00995114">
        <w:rPr>
          <w:rFonts w:eastAsia="Times New Roman" w:cstheme="minorHAnsi"/>
          <w:color w:val="444444"/>
          <w:sz w:val="24"/>
          <w:szCs w:val="24"/>
          <w:lang w:eastAsia="id-ID"/>
        </w:rPr>
        <w:t>)</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7)   Deklarasi Bandung 2004 dengan komitmen “</w:t>
      </w:r>
      <w:r w:rsidRPr="00995114">
        <w:rPr>
          <w:rFonts w:eastAsia="Times New Roman" w:cstheme="minorHAnsi"/>
          <w:i/>
          <w:iCs/>
          <w:color w:val="444444"/>
          <w:sz w:val="24"/>
          <w:szCs w:val="24"/>
          <w:lang w:eastAsia="id-ID"/>
        </w:rPr>
        <w:t>Indonesia Menuju Pendidikan Inklusif</w:t>
      </w:r>
      <w:r w:rsidRPr="00995114">
        <w:rPr>
          <w:rFonts w:eastAsia="Times New Roman" w:cstheme="minorHAnsi"/>
          <w:color w:val="444444"/>
          <w:sz w:val="24"/>
          <w:szCs w:val="24"/>
          <w:lang w:eastAsia="id-ID"/>
        </w:rPr>
        <w:t>”</w:t>
      </w:r>
    </w:p>
    <w:p w:rsid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sidRPr="00995114">
        <w:rPr>
          <w:rFonts w:eastAsia="Times New Roman" w:cstheme="minorHAnsi"/>
          <w:color w:val="444444"/>
          <w:sz w:val="24"/>
          <w:szCs w:val="24"/>
          <w:lang w:eastAsia="id-ID"/>
        </w:rPr>
        <w:t>8)   Rekomendasi Bukittinggi 2005 mengenai pendidikan yang inklusif dan ramah.</w:t>
      </w:r>
    </w:p>
    <w:p w:rsidR="00995114" w:rsidRPr="00995114" w:rsidRDefault="00995114" w:rsidP="00995114">
      <w:pPr>
        <w:shd w:val="clear" w:color="auto" w:fill="FFFFFF"/>
        <w:spacing w:before="100" w:beforeAutospacing="1" w:after="300" w:line="240" w:lineRule="auto"/>
        <w:jc w:val="both"/>
        <w:rPr>
          <w:rFonts w:eastAsia="Times New Roman" w:cstheme="minorHAnsi"/>
          <w:color w:val="444444"/>
          <w:sz w:val="24"/>
          <w:szCs w:val="24"/>
          <w:lang w:eastAsia="id-ID"/>
        </w:rPr>
      </w:pPr>
      <w:r>
        <w:rPr>
          <w:rFonts w:eastAsia="Times New Roman" w:cstheme="minorHAnsi"/>
          <w:noProof/>
          <w:color w:val="444444"/>
          <w:sz w:val="24"/>
          <w:szCs w:val="24"/>
          <w:lang w:eastAsia="id-ID"/>
        </w:rPr>
        <mc:AlternateContent>
          <mc:Choice Requires="wps">
            <w:drawing>
              <wp:anchor distT="0" distB="0" distL="114300" distR="114300" simplePos="0" relativeHeight="251659264" behindDoc="0" locked="0" layoutInCell="1" allowOverlap="1">
                <wp:simplePos x="0" y="0"/>
                <wp:positionH relativeFrom="column">
                  <wp:posOffset>19049</wp:posOffset>
                </wp:positionH>
                <wp:positionV relativeFrom="paragraph">
                  <wp:posOffset>66675</wp:posOffset>
                </wp:positionV>
                <wp:extent cx="5934075" cy="9525"/>
                <wp:effectExtent l="0" t="0" r="9525" b="28575"/>
                <wp:wrapNone/>
                <wp:docPr id="2" name="Straight Connector 2"/>
                <wp:cNvGraphicFramePr/>
                <a:graphic xmlns:a="http://schemas.openxmlformats.org/drawingml/2006/main">
                  <a:graphicData uri="http://schemas.microsoft.com/office/word/2010/wordprocessingShape">
                    <wps:wsp>
                      <wps:cNvCnPr/>
                      <wps:spPr>
                        <a:xfrm flipV="1">
                          <a:off x="0" y="0"/>
                          <a:ext cx="59340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5pt,5.25pt" to="46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" strokecolor="#4579b8 [3044]"/>
            </w:pict>
          </mc:Fallback>
        </mc:AlternateContent>
      </w:r>
    </w:p>
    <w:p w:rsidR="00995114" w:rsidRPr="004E1727" w:rsidRDefault="00995114" w:rsidP="00995114">
      <w:pPr>
        <w:shd w:val="clear" w:color="auto" w:fill="FFFFFF"/>
        <w:spacing w:before="100" w:beforeAutospacing="1" w:after="300" w:line="240" w:lineRule="auto"/>
        <w:rPr>
          <w:rFonts w:eastAsia="Times New Roman" w:cstheme="minorHAnsi"/>
          <w:color w:val="444444"/>
          <w:sz w:val="24"/>
          <w:szCs w:val="24"/>
          <w:lang w:eastAsia="id-ID"/>
        </w:rPr>
      </w:pPr>
      <w:hyperlink r:id="rId10" w:anchor="_ftnref12" w:history="1">
        <w:r w:rsidRPr="00AB17EA">
          <w:rPr>
            <w:rFonts w:eastAsia="Times New Roman" w:cstheme="minorHAnsi"/>
            <w:color w:val="1E8BC3"/>
            <w:sz w:val="24"/>
            <w:szCs w:val="24"/>
            <w:u w:val="single"/>
            <w:lang w:eastAsia="id-ID"/>
          </w:rPr>
          <w:t>[12]</w:t>
        </w:r>
      </w:hyperlink>
      <w:r w:rsidRPr="004E1727">
        <w:rPr>
          <w:rFonts w:eastAsia="Times New Roman" w:cstheme="minorHAnsi"/>
          <w:color w:val="444444"/>
          <w:sz w:val="24"/>
          <w:szCs w:val="24"/>
          <w:lang w:eastAsia="id-ID"/>
        </w:rPr>
        <w:t>QS. Al Hujurat Ayat 13</w:t>
      </w:r>
      <w:bookmarkStart w:id="0" w:name="_GoBack"/>
      <w:bookmarkEnd w:id="0"/>
    </w:p>
    <w:p w:rsidR="00995114" w:rsidRPr="004E1727" w:rsidRDefault="00995114" w:rsidP="00995114">
      <w:pPr>
        <w:shd w:val="clear" w:color="auto" w:fill="FFFFFF"/>
        <w:spacing w:before="100" w:beforeAutospacing="1" w:after="300" w:line="240" w:lineRule="auto"/>
        <w:rPr>
          <w:rFonts w:eastAsia="Times New Roman" w:cstheme="minorHAnsi"/>
          <w:color w:val="444444"/>
          <w:sz w:val="24"/>
          <w:szCs w:val="24"/>
          <w:lang w:eastAsia="id-ID"/>
        </w:rPr>
      </w:pPr>
      <w:hyperlink r:id="rId11" w:anchor="_ftnref13" w:history="1">
        <w:r w:rsidRPr="00AB17EA">
          <w:rPr>
            <w:rFonts w:eastAsia="Times New Roman" w:cstheme="minorHAnsi"/>
            <w:color w:val="1E8BC3"/>
            <w:sz w:val="24"/>
            <w:szCs w:val="24"/>
            <w:u w:val="single"/>
            <w:lang w:eastAsia="id-ID"/>
          </w:rPr>
          <w:t>[13]</w:t>
        </w:r>
      </w:hyperlink>
      <w:r w:rsidRPr="004E1727">
        <w:rPr>
          <w:rFonts w:eastAsia="Times New Roman" w:cstheme="minorHAnsi"/>
          <w:color w:val="444444"/>
          <w:sz w:val="24"/>
          <w:szCs w:val="24"/>
          <w:lang w:eastAsia="id-ID"/>
        </w:rPr>
        <w:t>QS. ‘Abasa Ayat 1-16. Orang buta dalam Surat ‘Abasa tersebut bernama Abdullah bin Ummi Maktum. Dia datang kepada Rasulullah SAW meminta ajaran-ajaran tentang Islam; lalu Rasulullah SAW bermuka masam dan berpaling daripadanya, karena beliau sedang menghadapi pembesar Quraisy dengan pengharapan agar pembesar-pembesar tersebut mau masuk Islam. Maka turunlah surat ini sebagi teguran kepada Rasulullah SAW</w:t>
      </w:r>
    </w:p>
    <w:p w:rsidR="00995114" w:rsidRPr="004E1727" w:rsidRDefault="00995114" w:rsidP="00995114">
      <w:pPr>
        <w:shd w:val="clear" w:color="auto" w:fill="FFFFFF"/>
        <w:spacing w:before="100" w:beforeAutospacing="1" w:after="300" w:line="240" w:lineRule="auto"/>
        <w:rPr>
          <w:rFonts w:eastAsia="Times New Roman" w:cstheme="minorHAnsi"/>
          <w:color w:val="444444"/>
          <w:sz w:val="24"/>
          <w:szCs w:val="24"/>
          <w:lang w:eastAsia="id-ID"/>
        </w:rPr>
      </w:pPr>
      <w:hyperlink r:id="rId12" w:anchor="_ftnref14" w:history="1">
        <w:r w:rsidRPr="00AB17EA">
          <w:rPr>
            <w:rFonts w:eastAsia="Times New Roman" w:cstheme="minorHAnsi"/>
            <w:color w:val="1E8BC3"/>
            <w:sz w:val="24"/>
            <w:szCs w:val="24"/>
            <w:u w:val="single"/>
            <w:lang w:eastAsia="id-ID"/>
          </w:rPr>
          <w:t>[14]</w:t>
        </w:r>
      </w:hyperlink>
      <w:r w:rsidRPr="004E1727">
        <w:rPr>
          <w:rFonts w:eastAsia="Times New Roman" w:cstheme="minorHAnsi"/>
          <w:color w:val="444444"/>
          <w:sz w:val="24"/>
          <w:szCs w:val="24"/>
          <w:lang w:eastAsia="id-ID"/>
        </w:rPr>
        <w:t>Al Imam Abi Husain Muslim bin Al Hajjaj,</w:t>
      </w:r>
      <w:r w:rsidRPr="00AB17EA">
        <w:rPr>
          <w:rFonts w:eastAsia="Times New Roman" w:cstheme="minorHAnsi"/>
          <w:color w:val="444444"/>
          <w:sz w:val="24"/>
          <w:szCs w:val="24"/>
          <w:lang w:eastAsia="id-ID"/>
        </w:rPr>
        <w:t> </w:t>
      </w:r>
      <w:r w:rsidRPr="00AB17EA">
        <w:rPr>
          <w:rFonts w:eastAsia="Times New Roman" w:cstheme="minorHAnsi"/>
          <w:i/>
          <w:iCs/>
          <w:color w:val="444444"/>
          <w:sz w:val="24"/>
          <w:szCs w:val="24"/>
          <w:lang w:eastAsia="id-ID"/>
        </w:rPr>
        <w:t>Shahih Muslim, </w:t>
      </w:r>
      <w:r w:rsidRPr="004E1727">
        <w:rPr>
          <w:rFonts w:eastAsia="Times New Roman" w:cstheme="minorHAnsi"/>
          <w:color w:val="444444"/>
          <w:sz w:val="24"/>
          <w:szCs w:val="24"/>
          <w:lang w:eastAsia="id-ID"/>
        </w:rPr>
        <w:t>(Kairo: Daar Ibnu Al Haitam, 2001), h. 655</w:t>
      </w:r>
    </w:p>
    <w:p w:rsidR="00995114" w:rsidRPr="004E1727" w:rsidRDefault="00995114" w:rsidP="00995114">
      <w:pPr>
        <w:shd w:val="clear" w:color="auto" w:fill="FFFFFF"/>
        <w:spacing w:before="100" w:beforeAutospacing="1" w:after="300" w:line="240" w:lineRule="auto"/>
        <w:rPr>
          <w:rFonts w:eastAsia="Times New Roman" w:cstheme="minorHAnsi"/>
          <w:color w:val="444444"/>
          <w:sz w:val="24"/>
          <w:szCs w:val="24"/>
          <w:lang w:eastAsia="id-ID"/>
        </w:rPr>
      </w:pPr>
      <w:hyperlink r:id="rId13" w:anchor="_ftnref15" w:history="1">
        <w:r w:rsidRPr="00AB17EA">
          <w:rPr>
            <w:rFonts w:eastAsia="Times New Roman" w:cstheme="minorHAnsi"/>
            <w:color w:val="1E8BC3"/>
            <w:sz w:val="24"/>
            <w:szCs w:val="24"/>
            <w:u w:val="single"/>
            <w:lang w:eastAsia="id-ID"/>
          </w:rPr>
          <w:t>[15]</w:t>
        </w:r>
      </w:hyperlink>
      <w:r w:rsidRPr="004E1727">
        <w:rPr>
          <w:rFonts w:eastAsia="Times New Roman" w:cstheme="minorHAnsi"/>
          <w:color w:val="444444"/>
          <w:sz w:val="24"/>
          <w:szCs w:val="24"/>
          <w:lang w:eastAsia="id-ID"/>
        </w:rPr>
        <w:t>Ahmad Ibn Hanbal,</w:t>
      </w:r>
      <w:r w:rsidRPr="00AB17EA">
        <w:rPr>
          <w:rFonts w:eastAsia="Times New Roman" w:cstheme="minorHAnsi"/>
          <w:color w:val="444444"/>
          <w:sz w:val="24"/>
          <w:szCs w:val="24"/>
          <w:lang w:eastAsia="id-ID"/>
        </w:rPr>
        <w:t> </w:t>
      </w:r>
      <w:r w:rsidRPr="00AB17EA">
        <w:rPr>
          <w:rFonts w:eastAsia="Times New Roman" w:cstheme="minorHAnsi"/>
          <w:i/>
          <w:iCs/>
          <w:color w:val="444444"/>
          <w:sz w:val="24"/>
          <w:szCs w:val="24"/>
          <w:lang w:eastAsia="id-ID"/>
        </w:rPr>
        <w:t>Musnad Ahmad Ibnu Hanbal</w:t>
      </w:r>
      <w:r w:rsidRPr="004E1727">
        <w:rPr>
          <w:rFonts w:eastAsia="Times New Roman" w:cstheme="minorHAnsi"/>
          <w:color w:val="444444"/>
          <w:sz w:val="24"/>
          <w:szCs w:val="24"/>
          <w:lang w:eastAsia="id-ID"/>
        </w:rPr>
        <w:t>, (Kairo: Muassasah Qurtubah, tt), juz 5, h. 411</w:t>
      </w:r>
    </w:p>
    <w:p w:rsidR="008A4EED" w:rsidRPr="00995114" w:rsidRDefault="008A4EED" w:rsidP="00995114">
      <w:pPr>
        <w:jc w:val="both"/>
        <w:rPr>
          <w:sz w:val="24"/>
          <w:szCs w:val="24"/>
        </w:rPr>
      </w:pPr>
    </w:p>
    <w:sectPr w:rsidR="008A4EED" w:rsidRPr="00995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5662D"/>
    <w:multiLevelType w:val="hybridMultilevel"/>
    <w:tmpl w:val="3932AF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9C91A2E"/>
    <w:multiLevelType w:val="hybridMultilevel"/>
    <w:tmpl w:val="02C455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474100F"/>
    <w:multiLevelType w:val="multilevel"/>
    <w:tmpl w:val="6852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114"/>
    <w:rsid w:val="00580522"/>
    <w:rsid w:val="008A4EED"/>
    <w:rsid w:val="0099511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51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adinotkamal.wordpress.com/2011/04/12/pendidikan-inklusif/" TargetMode="External"/><Relationship Id="rId13" Type="http://schemas.openxmlformats.org/officeDocument/2006/relationships/hyperlink" Target="https://fuadinotkamal.wordpress.com/2011/04/12/pendidikan-inklusif/" TargetMode="External"/><Relationship Id="rId3" Type="http://schemas.microsoft.com/office/2007/relationships/stylesWithEffects" Target="stylesWithEffects.xml"/><Relationship Id="rId7" Type="http://schemas.openxmlformats.org/officeDocument/2006/relationships/hyperlink" Target="https://fuadinotkamal.wordpress.com/2011/04/12/pendidikan-inklusif/" TargetMode="External"/><Relationship Id="rId12" Type="http://schemas.openxmlformats.org/officeDocument/2006/relationships/hyperlink" Target="https://fuadinotkamal.wordpress.com/2011/04/12/pendidikan-inklus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uadinotkamal.wordpress.com/2011/04/12/pendidikan-inklusif/" TargetMode="External"/><Relationship Id="rId11" Type="http://schemas.openxmlformats.org/officeDocument/2006/relationships/hyperlink" Target="https://fuadinotkamal.wordpress.com/2011/04/12/pendidikan-inklusi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uadinotkamal.wordpress.com/2011/04/12/pendidikan-inklusif/" TargetMode="External"/><Relationship Id="rId4" Type="http://schemas.openxmlformats.org/officeDocument/2006/relationships/settings" Target="settings.xml"/><Relationship Id="rId9" Type="http://schemas.openxmlformats.org/officeDocument/2006/relationships/hyperlink" Target="https://fuadinotkamal.wordpress.com/2011/04/12/pendidikan-inklusi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1107</Words>
  <Characters>6311</Characters>
  <Application>Microsoft Office Word</Application>
  <DocSecurity>0</DocSecurity>
  <Lines>52</Lines>
  <Paragraphs>14</Paragraphs>
  <ScaleCrop>false</ScaleCrop>
  <Company/>
  <LinksUpToDate>false</LinksUpToDate>
  <CharactersWithSpaces>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nurjanah</dc:creator>
  <cp:lastModifiedBy>nurjanah</cp:lastModifiedBy>
  <cp:revision>1</cp:revision>
  <dcterms:created xsi:type="dcterms:W3CDTF">2018-08-17T19:07:00Z</dcterms:created>
  <dcterms:modified xsi:type="dcterms:W3CDTF">2018-08-17T19:14:00Z</dcterms:modified>
</cp:coreProperties>
</file>