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Insights and Recommendations</w:t>
      </w:r>
    </w:p>
    <w:p>
      <w:r>
        <w:t>ApexPlanet 2025 sales: ₹139.4M revenue, 1,000 orders, 947 customers. Impact figures are illustrative scenarios, not forecasts.</w:t>
      </w:r>
    </w:p>
    <w:p>
      <w:pPr>
        <w:pStyle w:val="Heading1"/>
      </w:pPr>
      <w:r>
        <w:t>Insight to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Insight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Possible solution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Expected impact</w:t>
            </w:r>
          </w:p>
        </w:tc>
      </w:tr>
      <w:tr>
        <w:tc>
          <w:tcPr>
            <w:tcW w:type="dxa" w:w="1728"/>
          </w:tcPr>
          <w:p>
            <w:r>
              <w:t>Aug–Sep revenue (₹9.4M, ₹9.2M) is well below the ₹11.5M monthly average</w:t>
            </w:r>
          </w:p>
        </w:tc>
        <w:tc>
          <w:tcPr>
            <w:tcW w:type="dxa" w:w="1728"/>
          </w:tcPr>
          <w:p>
            <w:r>
              <w:t>Two weak months</w:t>
            </w:r>
          </w:p>
        </w:tc>
        <w:tc>
          <w:tcPr>
            <w:tcW w:type="dxa" w:w="1728"/>
          </w:tcPr>
          <w:p>
            <w:r>
              <w:t>Seasonal offers, bundles</w:t>
            </w:r>
          </w:p>
        </w:tc>
        <w:tc>
          <w:tcPr>
            <w:tcW w:type="dxa" w:w="1728"/>
          </w:tcPr>
          <w:p>
            <w:r>
              <w:t>Run an Aug–Sep campaign</w:t>
            </w:r>
          </w:p>
        </w:tc>
        <w:tc>
          <w:tcPr>
            <w:tcW w:type="dxa" w:w="1728"/>
          </w:tcPr>
          <w:p>
            <w:r>
              <w:t>About ₹4.5M if both months reach average</w:t>
            </w:r>
          </w:p>
        </w:tc>
      </w:tr>
      <w:tr>
        <w:tc>
          <w:tcPr>
            <w:tcW w:type="dxa" w:w="1728"/>
          </w:tcPr>
          <w:p>
            <w:r>
              <w:t>95% of customers buy once; top 20% give 48% of revenue</w:t>
            </w:r>
          </w:p>
        </w:tc>
        <w:tc>
          <w:tcPr>
            <w:tcW w:type="dxa" w:w="1728"/>
          </w:tcPr>
          <w:p>
            <w:r>
              <w:t>Weak retention, revenue concentration</w:t>
            </w:r>
          </w:p>
        </w:tc>
        <w:tc>
          <w:tcPr>
            <w:tcW w:type="dxa" w:w="1728"/>
          </w:tcPr>
          <w:p>
            <w:r>
              <w:t>Loyalty tiers, reorder reminders, VIP service</w:t>
            </w:r>
          </w:p>
        </w:tc>
        <w:tc>
          <w:tcPr>
            <w:tcW w:type="dxa" w:w="1728"/>
          </w:tcPr>
          <w:p>
            <w:r>
              <w:t>Launch a retention programme</w:t>
            </w:r>
          </w:p>
        </w:tc>
        <w:tc>
          <w:tcPr>
            <w:tcW w:type="dxa" w:w="1728"/>
          </w:tcPr>
          <w:p>
            <w:r>
              <w:t>Repeat rate 5% to 10% adds about ₹6.6M</w:t>
            </w:r>
          </w:p>
        </w:tc>
      </w:tr>
      <w:tr>
        <w:tc>
          <w:tcPr>
            <w:tcW w:type="dxa" w:w="1728"/>
          </w:tcPr>
          <w:p>
            <w:r>
              <w:t>Electronics gives 36% of revenue through volume; order-size gap not significant (p = 0.061)</w:t>
            </w:r>
          </w:p>
        </w:tc>
        <w:tc>
          <w:tcPr>
            <w:tcW w:type="dxa" w:w="1728"/>
          </w:tcPr>
          <w:p>
            <w:r>
              <w:t>Risk of acting on an unproven price premium</w:t>
            </w:r>
          </w:p>
        </w:tc>
        <w:tc>
          <w:tcPr>
            <w:tcW w:type="dxa" w:w="1728"/>
          </w:tcPr>
          <w:p>
            <w:r>
              <w:t>Keep stock and marketing strong; gather more data</w:t>
            </w:r>
          </w:p>
        </w:tc>
        <w:tc>
          <w:tcPr>
            <w:tcW w:type="dxa" w:w="1728"/>
          </w:tcPr>
          <w:p>
            <w:r>
              <w:t>Back Electronics by volume</w:t>
            </w:r>
          </w:p>
        </w:tc>
        <w:tc>
          <w:tcPr>
            <w:tcW w:type="dxa" w:w="1728"/>
          </w:tcPr>
          <w:p>
            <w:r>
              <w:t>Avoids unproven pricing; re-test with about 606 orders per category</w:t>
            </w:r>
          </w:p>
        </w:tc>
      </w:tr>
      <w:tr>
        <w:tc>
          <w:tcPr>
            <w:tcW w:type="dxa" w:w="1728"/>
          </w:tcPr>
          <w:p>
            <w:r>
              <w:t>Pune has high AOV (₹146.6K) but only 99 orders</w:t>
            </w:r>
          </w:p>
        </w:tc>
        <w:tc>
          <w:tcPr>
            <w:tcW w:type="dxa" w:w="1728"/>
          </w:tcPr>
          <w:p>
            <w:r>
              <w:t>Under-penetrated market</w:t>
            </w:r>
          </w:p>
        </w:tc>
        <w:tc>
          <w:tcPr>
            <w:tcW w:type="dxa" w:w="1728"/>
          </w:tcPr>
          <w:p>
            <w:r>
              <w:t>Local acquisition campaigns</w:t>
            </w:r>
          </w:p>
        </w:tc>
        <w:tc>
          <w:tcPr>
            <w:tcW w:type="dxa" w:w="1728"/>
          </w:tcPr>
          <w:p>
            <w:r>
              <w:t>Grow Pune</w:t>
            </w:r>
          </w:p>
        </w:tc>
        <w:tc>
          <w:tcPr>
            <w:tcW w:type="dxa" w:w="1728"/>
          </w:tcPr>
          <w:p>
            <w:r>
              <w:t>About ₹4.5M at top-3 city volume</w:t>
            </w:r>
          </w:p>
        </w:tc>
      </w:tr>
    </w:tbl>
    <w:p>
      <w:pPr>
        <w:pStyle w:val="Heading1"/>
      </w:pPr>
      <w:r>
        <w:t>Dashboard summary</w:t>
      </w:r>
    </w:p>
    <w:p>
      <w:r>
        <w:drawing>
          <wp:inline xmlns:a="http://schemas.openxmlformats.org/drawingml/2006/main" xmlns:pic="http://schemas.openxmlformats.org/drawingml/2006/picture">
            <wp:extent cx="5760720" cy="3951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12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