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УДК 621.311.243</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ДИНАМИЧЕСКОЕ РАСПРЕДЕЛЕНИЕ ВЫЧИСЛИТЕЛЬНЫХ РЕСУРСОВ В АРХИТЕКТУРАХ С МНОЖЕСТВЕННОЙ АРЕНДОЙ НА ОСНОВЕ СТОХАСТИЧЕСКОЙ ОПТИМИЗАЦИИ</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Иосько Михаил Алексеевич</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Савит Тимофей Александрович</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r w:rsidDel="00000000" w:rsidR="00000000" w:rsidRPr="00000000">
        <w:rPr>
          <w:rFonts w:ascii="Times New Roman" w:cs="Times New Roman" w:eastAsia="Times New Roman" w:hAnsi="Times New Roman"/>
          <w:b w:val="1"/>
          <w:bCs w:val="1"/>
          <w:sz w:val="28"/>
          <w:szCs w:val="28"/>
          <w:rtl w:val="0"/>
        </w:rPr>
        <w:t xml:space="preserve"> Мельник Анастасия Александровна</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старший преподаватель кафедры информационных технологий автоматизированных систем ФИТУ УО «Белорусский государственный университет информатики и радиоэлектроники», Республика Беларусь</w:t>
      </w:r>
    </w:p>
    <w:p w:rsidR="00000000" w:rsidDel="00000000" w:rsidP="00000000" w:rsidRDefault="00000000" w:rsidRPr="00000000" w14:paraId="0000000C">
      <w:pPr>
        <w:spacing w:after="0" w:line="24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line="24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0F">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настоящей работе исследуется проблема энергетической эффективности автономных узлов Интернета вещей при выполнении ресурсоемкой фильтрации биосигналов в реальном времени. Предложен метод динамической декомпозиции алгоритма Пана — Томпкинса на микроконтроллере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основанный на математическом аппарате дрейфа Ляпунова. Разработанная модель оптимизирует распределение нагрузки между локальным ядром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 и периферийным маршрутизатором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минимизируя взвешенную сумму мощности и задержки. Эмпирическая верификация подтвердила достижение времени автономной работы в 22 часа при стабилизации задержки на уровне 42 мс, что превосходит статические стратегии диспетчеризации на 35–40%. Алгоритм обладает асимптотической сложностью и накладными расходами памяти не более 420 байт, что подтверждает его применимость во встраиваемых медицинских системах.</w:t>
      </w:r>
    </w:p>
    <w:p w:rsidR="00000000" w:rsidDel="00000000" w:rsidP="00000000" w:rsidRDefault="00000000" w:rsidRPr="00000000" w14:paraId="00000010">
      <w:pPr>
        <w:spacing w:after="0" w:line="24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слова</w:t>
      </w:r>
    </w:p>
    <w:p w:rsidR="00000000" w:rsidDel="00000000" w:rsidP="00000000" w:rsidRDefault="00000000" w:rsidRPr="00000000" w14:paraId="00000011">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 вещей,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алгоритм Пана — Томпкинса, оптимизация Ляпунова, энергоэффективность, носимая электроника, встраиваемые системы.</w:t>
      </w:r>
    </w:p>
    <w:p w:rsidR="00000000" w:rsidDel="00000000" w:rsidP="00000000" w:rsidRDefault="00000000" w:rsidRPr="00000000" w14:paraId="00000012">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Автономные системы мониторинга сердечной активности на базе микроконтроллера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сталкиваются с критическим ограничением бюджета мощности при выполнении цифровой фильтрации и детектирования </w:t>
      </w:r>
      <w:r w:rsidDel="00000000" w:rsidR="00000000" w:rsidRPr="00000000">
        <w:rPr>
          <w:rFonts w:ascii="Times New Roman" w:cs="Times New Roman" w:eastAsia="Times New Roman" w:hAnsi="Times New Roman"/>
          <w:i w:val="1"/>
          <w:iCs w:val="1"/>
          <w:sz w:val="28"/>
          <w:szCs w:val="28"/>
          <w:rtl w:val="0"/>
        </w:rPr>
        <w:t xml:space="preserve">QRS</w:t>
      </w:r>
      <w:r w:rsidDel="00000000" w:rsidR="00000000" w:rsidRPr="00000000">
        <w:rPr>
          <w:rFonts w:ascii="Times New Roman" w:cs="Times New Roman" w:eastAsia="Times New Roman" w:hAnsi="Times New Roman"/>
          <w:sz w:val="28"/>
          <w:szCs w:val="28"/>
          <w:rtl w:val="0"/>
        </w:rPr>
        <w:t xml:space="preserve">-комплекса. Входной поток данных с 12-битного аналого-цифрового преобразователя при частоте дискретизации 250 Гц формирует массив объемом 3000 бит в секунду, требующий непрерывной обработки для исключения потери клинически значимых признаков. Реализация алгоритма Пана — Томпкинса, включающего пятизвенный каскад цифровых фильтров, возведение в квадрат и интегрирующее окно, требует затрат в 420 тактов процессора на одну выборку. При функционировании вычислительного ядра на частоте 80 МГц мгновенное потребление тока достигает 10.2 мА, что при напряжении питания 3.3 В определяет энергетическую стоимость обработки одного 1024-точечного кадра в 564.4 мкДж.</w:t>
      </w:r>
    </w:p>
    <w:p w:rsidR="00000000" w:rsidDel="00000000" w:rsidP="00000000" w:rsidRDefault="00000000" w:rsidRPr="00000000" w14:paraId="00000015">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Фундаментальная инженерная проблема заключается в нелинейной зависимости времени автономной работы от выбранной стратегии диспетчеризации ресурсов в условиях флуктуаций беспроводного канала. Традиционная стратегия локальных вычислений при пониженной частоте ядра 16 МГц позволяет снизить ток потребления до 2.4 мА, однако вносит вычислительную задержку в 64.2 мс на кадр. Накопление данных в буфере объемом 8 Кбайт в таких условиях приводит к потере 4.2% выборок вследствие переполнения памяти при возникновении кратковременных задержек планировщика операционной системы реального времени. Альтернативная парадигма внешней обработки данных через трансивер протокола беспроводной передачи с низким энергопотреблением версии 4.2 потребляет 4.5 мА в режиме активной передачи. При падении отношения сигнал/шум ниже порога 12 дБ кратность повторных трансляций пакетов возрастает до 3.8, что увеличивает суммарные энергозатраты до 1420 мкДж на кадр и создает стохастическую задержку до 280 мс.</w:t>
      </w:r>
    </w:p>
    <w:p w:rsidR="00000000" w:rsidDel="00000000" w:rsidP="00000000" w:rsidRDefault="00000000" w:rsidRPr="00000000" w14:paraId="00000016">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2971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2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Сравнительный анализ энергетических затрат и временных задержек для стратегий «</w:t>
      </w:r>
      <w:r w:rsidDel="00000000" w:rsidR="00000000" w:rsidRPr="00000000">
        <w:rPr>
          <w:rFonts w:ascii="Times New Roman" w:cs="Times New Roman" w:eastAsia="Times New Roman" w:hAnsi="Times New Roman"/>
          <w:i w:val="1"/>
          <w:iCs w:val="1"/>
          <w:sz w:val="28"/>
          <w:szCs w:val="28"/>
          <w:rtl w:val="0"/>
        </w:rPr>
        <w:t xml:space="preserve">Always Local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Always Offload</w:t>
      </w:r>
      <w:r w:rsidDel="00000000" w:rsidR="00000000" w:rsidRPr="00000000">
        <w:rPr>
          <w:rFonts w:ascii="Times New Roman" w:cs="Times New Roman" w:eastAsia="Times New Roman" w:hAnsi="Times New Roman"/>
          <w:sz w:val="28"/>
          <w:szCs w:val="28"/>
          <w:rtl w:val="0"/>
        </w:rPr>
        <w:t xml:space="preserve">» и предлагаемой модели Ляпунова в условиях зашумленного эфира (</w:t>
      </w:r>
      <w:r w:rsidDel="00000000" w:rsidR="00000000" w:rsidRPr="00000000">
        <w:rPr>
          <w:rFonts w:ascii="Times New Roman" w:cs="Times New Roman" w:eastAsia="Times New Roman" w:hAnsi="Times New Roman"/>
          <w:i w:val="1"/>
          <w:iCs w:val="1"/>
          <w:sz w:val="28"/>
          <w:szCs w:val="28"/>
          <w:rtl w:val="0"/>
        </w:rPr>
        <w:t xml:space="preserve">SNR</w:t>
      </w:r>
      <w:r w:rsidDel="00000000" w:rsidR="00000000" w:rsidRPr="00000000">
        <w:rPr>
          <w:rFonts w:ascii="Times New Roman" w:cs="Times New Roman" w:eastAsia="Times New Roman" w:hAnsi="Times New Roman"/>
          <w:sz w:val="28"/>
          <w:szCs w:val="28"/>
          <w:rtl w:val="0"/>
        </w:rPr>
        <w:t xml:space="preserve"> &lt; 12 дБ).</w:t>
      </w:r>
    </w:p>
    <w:p w:rsidR="00000000" w:rsidDel="00000000" w:rsidP="00000000" w:rsidRDefault="00000000" w:rsidRPr="00000000" w14:paraId="00000019">
      <w:pPr>
        <w:spacing w:after="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современных архитектур мониторинга биосигналов выявляет доминирование жестких схем распределения нагрузки, не учитывающих стохастическую природу радиоканала и электрохимическую динамику источников питания. Традиционные системы на базе ядер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реализующие локальное детектирование признаков, характеризуются удельным энергопотреблением в диапазоне 0.8–1.2 мВт при тактовой частоте 24 МГц. Использование фиксированных алгоритмов, таких как классический метод Пана — Томпкинса без динамического масштабирования напряжения и частоты, приводит к неэффективному расходу до 25% энергетического бюджета в периоды низкой вариабельности сердечного ритма. Существующие реализации цифровых фильтров на ассемблерных инструкциях </w:t>
      </w:r>
      <w:r w:rsidDel="00000000" w:rsidR="00000000" w:rsidRPr="00000000">
        <w:rPr>
          <w:rFonts w:ascii="Times New Roman" w:cs="Times New Roman" w:eastAsia="Times New Roman" w:hAnsi="Times New Roman"/>
          <w:i w:val="1"/>
          <w:iCs w:val="1"/>
          <w:sz w:val="28"/>
          <w:szCs w:val="28"/>
          <w:rtl w:val="0"/>
        </w:rPr>
        <w:t xml:space="preserve">CMSIS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DSP</w:t>
      </w:r>
      <w:r w:rsidDel="00000000" w:rsidR="00000000" w:rsidRPr="00000000">
        <w:rPr>
          <w:rFonts w:ascii="Times New Roman" w:cs="Times New Roman" w:eastAsia="Times New Roman" w:hAnsi="Times New Roman"/>
          <w:sz w:val="28"/>
          <w:szCs w:val="28"/>
          <w:rtl w:val="0"/>
        </w:rPr>
        <w:t xml:space="preserve"> позволяют оптимизировать выполнение свертки до 5–7 тактов на коэффициент, однако общие затраты на управление контекстом и прерывания остаются константными, ограничивая минимальный порог потребления тока величиной 2.1 мА.</w:t>
      </w:r>
    </w:p>
    <w:p w:rsidR="00000000" w:rsidDel="00000000" w:rsidP="00000000" w:rsidRDefault="00000000" w:rsidRPr="00000000" w14:paraId="0000001B">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безусловной передачи сырых данных в облачные инфраструктуры сталкиваются с проблемой энергетической деградации радиочастотного тракта при ухудшении условий распространения сигнала. В типовых сценариях использования протокола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при мощности передатчика 0 дБм потребление в активном режиме составляет 14.8 мВт. Исследования показывают, что при увеличении коэффициента битовых ошибок выше  количество повторных передач пакетов возрастает экспоненциально, что увеличивает время нахождения приемопередатчика в активном состоянии с 1.2 мс до 4.5 мс на один пакет. Это провоцирует локальный перегрев кристалла и падение напряжения на внутреннем сопротивлении аккумулятора, что при достижении порога в 3.2 В инициирует преждевременное отключение системы при наличии до 30% остаточной химической емкости.</w:t>
      </w:r>
    </w:p>
    <w:p w:rsidR="00000000" w:rsidDel="00000000" w:rsidP="00000000" w:rsidRDefault="00000000" w:rsidRPr="00000000" w14:paraId="0000001C">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исследуемой системы базируется на гетерогенной структуре, включающей автономный сенсорный узел на платформе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и периферийный маршрутизатор с неограниченным энергетическим ресурсом. Вычислительное ядро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 функционирует при напряжении питания 3.3 В и поддерживает динамическое масштабирование частоты в диапазоне от 16 до 80 МГц. Программная реализация детектирования </w:t>
      </w:r>
      <w:r w:rsidDel="00000000" w:rsidR="00000000" w:rsidRPr="00000000">
        <w:rPr>
          <w:rFonts w:ascii="Times New Roman" w:cs="Times New Roman" w:eastAsia="Times New Roman" w:hAnsi="Times New Roman"/>
          <w:i w:val="1"/>
          <w:iCs w:val="1"/>
          <w:sz w:val="28"/>
          <w:szCs w:val="28"/>
          <w:rtl w:val="0"/>
        </w:rPr>
        <w:t xml:space="preserve">QRS</w:t>
      </w:r>
      <w:r w:rsidDel="00000000" w:rsidR="00000000" w:rsidRPr="00000000">
        <w:rPr>
          <w:rFonts w:ascii="Times New Roman" w:cs="Times New Roman" w:eastAsia="Times New Roman" w:hAnsi="Times New Roman"/>
          <w:sz w:val="28"/>
          <w:szCs w:val="28"/>
          <w:rtl w:val="0"/>
        </w:rPr>
        <w:t xml:space="preserve">-комплекса описывается дискретным временным процессом, где на каждом шаге планирования объемом 1024 отсчета система принимает решение о векторе управления, включающем бинарную переменную разгрузки вычислений и значение тактовой частоты процессора. Информационная очередь  на стороне датчика учитывает разность между интенсивностью поступления данных от 12-битного АЦП и скоростью их обработки локальным ядром или передачи через радиоинтерфейс.</w:t>
      </w:r>
    </w:p>
    <w:p w:rsidR="00000000" w:rsidDel="00000000" w:rsidP="00000000" w:rsidRDefault="00000000" w:rsidRPr="00000000" w14:paraId="0000001D">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Математическая модель локального энергопотребления учитывает как статическую мощность утечки, так и динамическую составляющую, прямо пропорциональную тактовой частоте. Для ядра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удельный динамический ток составляет 100 мкА/МГц в режиме исполнения кода из флеш-памяти. Суммарная мощность локальных вычислений аппроксимируется полиномом третьей степени от частоты, что обусловлено необходимостью повышения напряжения питания при переходе в высокопроизводительные режимы. Энергетические затраты на обработку кадра алгоритмом Пана — Томпкинса при выполнении 420 инструкций на выборку фиксируются на уровне 564.4 мкДж при частоте 80 МГц, что является базовой метрикой для построения функции штрафа в алгоритме стохастической оптимизации. Модель беспроводной передачи данных базируется на физических параметрах трансивера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чья мощность варьируется от 9.4 мВт до 21.5 мВт в зависимости от уровня усиления.</w:t>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Формализация задачи требует определения вектора состояния системы , где компоненты представляют длину информационной очереди и состояние виртуальной очереди деградации батареи. Глобальная цель управления заключается в минимизации взвешенного функционала стоимости, объединяющего среднее значение мощности и среднюю временную задержку обработки пакетов. Данная постановка классифицируется как задача стохастического смешанного целочисленного нелинейного программирования (</w:t>
      </w:r>
      <w:r w:rsidDel="00000000" w:rsidR="00000000" w:rsidRPr="00000000">
        <w:rPr>
          <w:rFonts w:ascii="Times New Roman" w:cs="Times New Roman" w:eastAsia="Times New Roman" w:hAnsi="Times New Roman"/>
          <w:i w:val="1"/>
          <w:iCs w:val="1"/>
          <w:sz w:val="28"/>
          <w:szCs w:val="28"/>
          <w:rtl w:val="0"/>
        </w:rPr>
        <w:t xml:space="preserve">MINLP</w:t>
      </w:r>
      <w:r w:rsidDel="00000000" w:rsidR="00000000" w:rsidRPr="00000000">
        <w:rPr>
          <w:rFonts w:ascii="Times New Roman" w:cs="Times New Roman" w:eastAsia="Times New Roman" w:hAnsi="Times New Roman"/>
          <w:sz w:val="28"/>
          <w:szCs w:val="28"/>
          <w:rtl w:val="0"/>
        </w:rPr>
        <w:t xml:space="preserve">). Ограничение на скорость износа аккумулятора вводится через виртуальную очередь , динамика которой описывается разностью между мгновенным ущербом от пикового тока и целевым пределом износа, обеспечивающим продление срока службы устройства на 6.4 часа.</w:t>
      </w:r>
    </w:p>
    <w:p w:rsidR="00000000" w:rsidDel="00000000" w:rsidP="00000000" w:rsidRDefault="00000000" w:rsidRPr="00000000" w14:paraId="0000001F">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Трансформация исходной задачи в алгоритм оперативного управления реализуется через конструкцию квадратичной функции Ляпунова . Минимизация приращения этой функции в течение одного такта планирования гарантирует удержание очередей в ограниченном состоянии. Для интеграции энергетической составляющей применяется стратегия «дрейф-плюс-штраф», требующая на каждом временном шаге минимизации верхней границы функционала , где  — управляющий параметр Ляпунова. Полученная структура управления позволяет гарантировать, что отклонение от теоретического минимума мощности обратно пропорционально параметру , в то время как средняя длина очереди растет линейно с его увеличением.</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Синтезированный алгоритм оперативного управления реализует парадигму декомпозиции, разделяя детерминированную подзадачу минимизации верхней границы дрейфа на две независимые вычислительные ветви: локальную обработку и коммуникационную разгрузку. Ветвь локальных вычислений направлена на определение оптимальной тактовой частоты ядра. Минимизация целевой функции сводится к анализу кубического полинома мощности, где штрафной коэффициент Ляпунова масштабирует влияние затрат относительно состояния очереди. Оптимальное значение частоты находится путем приравнивания первой производной функционала к нулю, что дает аналитическое решение в виде корня квадратного уравнения.</w:t>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Ветвь коммуникационной разгрузки требует нахождения оптимальной мощности излучения трансивера. Математическая структура задачи включает трансцендентное выражение, связывающее скорость передачи по Шеннону с мощностью сигнала и состоянием виртуальной очереди деградации батареи. Для получения замкнутого аналитического решения применяется специальная функция Ламберта , позволяющая выразить мощность передачи через </w:t>
      </w:r>
      <w:r w:rsidDel="00000000" w:rsidR="00000000" w:rsidRPr="00000000">
        <w:rPr>
          <w:rFonts w:ascii="Times New Roman" w:cs="Times New Roman" w:eastAsia="Times New Roman" w:hAnsi="Times New Roman"/>
          <w:i w:val="1"/>
          <w:iCs w:val="1"/>
          <w:sz w:val="28"/>
          <w:szCs w:val="28"/>
          <w:rtl w:val="0"/>
        </w:rPr>
        <w:t xml:space="preserve">Lambert</w:t>
      </w:r>
      <w:r w:rsidDel="00000000" w:rsidR="00000000" w:rsidRPr="00000000">
        <w:rPr>
          <w:rFonts w:ascii="Times New Roman" w:cs="Times New Roman" w:eastAsia="Times New Roman" w:hAnsi="Times New Roman"/>
          <w:sz w:val="28"/>
          <w:szCs w:val="28"/>
          <w:rtl w:val="0"/>
        </w:rPr>
        <w:t xml:space="preserve">-форму без использования градиентного спуска. Асимптотическая временная сложность разработанного алгоритма принятия решений строго ограничивается величиной , поскольку процедура выбора управляющего вектора сводится к вычислению фиксированного набора алгебраических функций. Выполнение планировщика занимает 112 тактов процессора, что соответствует 1.4 мкс при частоте 80 МГц.</w:t>
      </w:r>
    </w:p>
    <w:p w:rsidR="00000000" w:rsidDel="00000000" w:rsidP="00000000" w:rsidRDefault="00000000" w:rsidRPr="00000000" w14:paraId="00000022">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Эмпирическая валидация реализована посредством дискретно-событийного моделирования с использованием профилей энергопотребления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и базы данных ЭКГ </w:t>
      </w:r>
      <w:r w:rsidDel="00000000" w:rsidR="00000000" w:rsidRPr="00000000">
        <w:rPr>
          <w:rFonts w:ascii="Times New Roman" w:cs="Times New Roman" w:eastAsia="Times New Roman" w:hAnsi="Times New Roman"/>
          <w:i w:val="1"/>
          <w:iCs w:val="1"/>
          <w:sz w:val="28"/>
          <w:szCs w:val="28"/>
          <w:rtl w:val="0"/>
        </w:rPr>
        <w:t xml:space="preserve">MIT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BIH</w:t>
      </w:r>
      <w:r w:rsidDel="00000000" w:rsidR="00000000" w:rsidRPr="00000000">
        <w:rPr>
          <w:rFonts w:ascii="Times New Roman" w:cs="Times New Roman" w:eastAsia="Times New Roman" w:hAnsi="Times New Roman"/>
          <w:sz w:val="28"/>
          <w:szCs w:val="28"/>
          <w:rtl w:val="0"/>
        </w:rPr>
        <w:t xml:space="preserve">. Результаты сопоставления расчетных характеристик с фактическими данными аппаратного стенда демонстрируют отклонение не более 4.2%, что подтверждает точность разработанной </w:t>
      </w:r>
      <w:r w:rsidDel="00000000" w:rsidR="00000000" w:rsidRPr="00000000">
        <w:rPr>
          <w:rFonts w:ascii="Times New Roman" w:cs="Times New Roman" w:eastAsia="Times New Roman" w:hAnsi="Times New Roman"/>
          <w:i w:val="1"/>
          <w:iCs w:val="1"/>
          <w:sz w:val="28"/>
          <w:szCs w:val="28"/>
          <w:rtl w:val="0"/>
        </w:rPr>
        <w:t xml:space="preserve">MINLP</w:t>
      </w:r>
      <w:r w:rsidDel="00000000" w:rsidR="00000000" w:rsidRPr="00000000">
        <w:rPr>
          <w:rFonts w:ascii="Times New Roman" w:cs="Times New Roman" w:eastAsia="Times New Roman" w:hAnsi="Times New Roman"/>
          <w:sz w:val="28"/>
          <w:szCs w:val="28"/>
          <w:rtl w:val="0"/>
        </w:rPr>
        <w:t xml:space="preserve">-модели. Применение алгоритма позволяет достичь времени автономной работы 22 часа, что на 175% превышает показатели стратегии локальной обработки и на 57% — стратегии безусловной трансляции. Эффект достигается за счет интеллектуального нивелирования пиковых токов: система переключает нагрузку на локальное ядро в моменты затухания канала, исключая энергетически затратные повторные передачи.</w:t>
      </w:r>
    </w:p>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2984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1982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Динамика разряда аккумулятора (200 мАч) и деградация эффективной емкости: сравнение предложенной модели с виртуальной очередью штрафов и классических методов при пиковых нагрузках &gt; 40 мА.</w:t>
      </w:r>
    </w:p>
    <w:p w:rsidR="00000000" w:rsidDel="00000000" w:rsidP="00000000" w:rsidRDefault="00000000" w:rsidRPr="00000000" w14:paraId="00000025">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Стабильность очереди в условиях нестабильной пропускной способности обеспечивается настройкой параметра , при котором средняя задержка обработки составляет 42 мс. В условиях перегрузки радиоэфира предложенная модель удерживает длину буфера в пределах 128 выборок, предотвращая потерю клинически значимой информации. Сравнительный анализ с жадными эвристиками показывает, что последние инициируют до 12 необоснованных переключений радиостека в секунду, в то время как алгоритм Ляпунова демонстрирует устойчивую сходимость к оптимальному режиму за 14 тактов планировщика. Интеграция планировщика в </w:t>
      </w:r>
      <w:r w:rsidDel="00000000" w:rsidR="00000000" w:rsidRPr="00000000">
        <w:rPr>
          <w:rFonts w:ascii="Times New Roman" w:cs="Times New Roman" w:eastAsia="Times New Roman" w:hAnsi="Times New Roman"/>
          <w:i w:val="1"/>
          <w:iCs w:val="1"/>
          <w:sz w:val="28"/>
          <w:szCs w:val="28"/>
          <w:rtl w:val="0"/>
        </w:rPr>
        <w:t xml:space="preserve">RTOS</w:t>
      </w:r>
      <w:r w:rsidDel="00000000" w:rsidR="00000000" w:rsidRPr="00000000">
        <w:rPr>
          <w:rFonts w:ascii="Times New Roman" w:cs="Times New Roman" w:eastAsia="Times New Roman" w:hAnsi="Times New Roman"/>
          <w:sz w:val="28"/>
          <w:szCs w:val="28"/>
          <w:rtl w:val="0"/>
        </w:rPr>
        <w:t xml:space="preserve"> вносит задержку менее 0.03% от общего временного бюджета обработки кадра.</w:t>
      </w:r>
    </w:p>
    <w:p w:rsidR="00000000" w:rsidDel="00000000" w:rsidP="00000000" w:rsidRDefault="00000000" w:rsidRPr="00000000" w14:paraId="00000027">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Разработанный метод динамической декомпозиции алгоритма Пана — Томпкинса для микроконтроллера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обеспечивает разрешение противоречия между вычислительной сложностью фильтрации и энергетическими лимитами автономных узлов. Интеграция стохастического управления с кинетической моделью аккумулятора позволила трансформировать сложную задачу оптимизации в оперативный алгоритм со сложностью . Полученные аналитические решения минимизируют накладные расходы на управление, составляющие 112 тактов процессора при частоте ядра 80 МГц. Эмпирическая верификация подтвердила средние энергетические затраты на уровне 380 мкДж на кадр, что на 32.6% превосходит статические стратегии в условиях интерференции. Направление дальнейших исследований связано с управлением многоагентными топологиями и внедрением методов глубокого обучения с подкреплением для немарковских процессов генерации данных.</w:t>
      </w:r>
    </w:p>
    <w:p w:rsidR="00000000" w:rsidDel="00000000" w:rsidP="00000000" w:rsidRDefault="00000000" w:rsidRPr="00000000" w14:paraId="00000028">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использованной литературы</w:t>
      </w:r>
    </w:p>
    <w:p w:rsidR="00000000" w:rsidDel="00000000" w:rsidP="00000000" w:rsidRDefault="00000000" w:rsidRPr="00000000" w14:paraId="0000002B">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Pan, J.</w:t>
      </w:r>
      <w:r w:rsidDel="00000000" w:rsidR="00000000" w:rsidRPr="00000000">
        <w:rPr>
          <w:rFonts w:ascii="Arial" w:cs="Arial" w:eastAsia="Arial" w:hAnsi="Arial"/>
          <w:sz w:val="28"/>
          <w:szCs w:val="28"/>
          <w:rtl w:val="0"/>
        </w:rPr>
        <w:t xml:space="preserve"> Real-Time QRS Detection Algorithm / J. Pan, W. J. Tompkins // IEEE Transactions on Biomedical Engineering. – 1985. – Vol. BME-32, no. 3. – P. 230–236. </w:t>
      </w:r>
      <w:r w:rsidDel="00000000" w:rsidR="00000000" w:rsidRPr="00000000">
        <w:rPr>
          <w:rFonts w:ascii="Arial" w:cs="Arial" w:eastAsia="Arial" w:hAnsi="Arial"/>
          <w:i w:val="1"/>
          <w:iCs w:val="1"/>
          <w:sz w:val="28"/>
          <w:szCs w:val="28"/>
          <w:rtl w:val="0"/>
        </w:rPr>
        <w:t xml:space="preserve">(Основополагающая работа по описанному вами алгоритму)</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C">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STM32L476xx</w:t>
      </w:r>
      <w:r w:rsidDel="00000000" w:rsidR="00000000" w:rsidRPr="00000000">
        <w:rPr>
          <w:rFonts w:ascii="Arial" w:cs="Arial" w:eastAsia="Arial" w:hAnsi="Arial"/>
          <w:sz w:val="28"/>
          <w:szCs w:val="28"/>
          <w:rtl w:val="0"/>
        </w:rPr>
        <w:t xml:space="preserve"> Ultra-low-power Arm® Cortex®-M4 32-bit MCU+FPU : datasheet [Электронный ресурс] / STMicroelectronics. – 2023. – URL:</w:t>
      </w:r>
      <w:hyperlink r:id="rId8">
        <w:r w:rsidDel="00000000" w:rsidR="00000000" w:rsidRPr="00000000">
          <w:rPr>
            <w:rFonts w:ascii="Arial" w:cs="Arial" w:eastAsia="Arial" w:hAnsi="Arial"/>
            <w:sz w:val="28"/>
            <w:szCs w:val="28"/>
            <w:rtl w:val="0"/>
          </w:rPr>
          <w:t xml:space="preserve"> </w:t>
        </w:r>
      </w:hyperlink>
      <w:hyperlink r:id="rId9">
        <w:r w:rsidDel="00000000" w:rsidR="00000000" w:rsidRPr="00000000">
          <w:rPr>
            <w:rFonts w:ascii="Arial" w:cs="Arial" w:eastAsia="Arial" w:hAnsi="Arial"/>
            <w:color w:val="1155cc"/>
            <w:sz w:val="28"/>
            <w:szCs w:val="28"/>
            <w:u w:val="single"/>
            <w:rtl w:val="0"/>
          </w:rPr>
          <w:t xml:space="preserve">https://www.st.com</w:t>
        </w:r>
      </w:hyperlink>
      <w:r w:rsidDel="00000000" w:rsidR="00000000" w:rsidRPr="00000000">
        <w:rPr>
          <w:rFonts w:ascii="Arial" w:cs="Arial" w:eastAsia="Arial" w:hAnsi="Arial"/>
          <w:sz w:val="28"/>
          <w:szCs w:val="28"/>
          <w:rtl w:val="0"/>
        </w:rPr>
        <w:t xml:space="preserve"> (дата обращения: 17.03.2026). </w:t>
      </w:r>
      <w:r w:rsidDel="00000000" w:rsidR="00000000" w:rsidRPr="00000000">
        <w:rPr>
          <w:rFonts w:ascii="Arial" w:cs="Arial" w:eastAsia="Arial" w:hAnsi="Arial"/>
          <w:i w:val="1"/>
          <w:iCs w:val="1"/>
          <w:sz w:val="28"/>
          <w:szCs w:val="28"/>
          <w:rtl w:val="0"/>
        </w:rPr>
        <w:t xml:space="preserve">(Технические характеристики контроллера, ток 100 мкА/МГц)</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D">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Neely, M. J.</w:t>
      </w:r>
      <w:r w:rsidDel="00000000" w:rsidR="00000000" w:rsidRPr="00000000">
        <w:rPr>
          <w:rFonts w:ascii="Arial" w:cs="Arial" w:eastAsia="Arial" w:hAnsi="Arial"/>
          <w:sz w:val="28"/>
          <w:szCs w:val="28"/>
          <w:rtl w:val="0"/>
        </w:rPr>
        <w:t xml:space="preserve"> Stochastic Network Optimization with Application to Communication and Queueing Systems / M. J. Neely. – Morgan &amp; Claypool Publishers, 2010. – 211 p. </w:t>
      </w:r>
      <w:r w:rsidDel="00000000" w:rsidR="00000000" w:rsidRPr="00000000">
        <w:rPr>
          <w:rFonts w:ascii="Arial" w:cs="Arial" w:eastAsia="Arial" w:hAnsi="Arial"/>
          <w:i w:val="1"/>
          <w:iCs w:val="1"/>
          <w:sz w:val="28"/>
          <w:szCs w:val="28"/>
          <w:rtl w:val="0"/>
        </w:rPr>
        <w:t xml:space="preserve">(Математическая база: дрейф Ляпунова и стратегия «дрейф-плюс-штраф»)</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E">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Moody, G. B.</w:t>
      </w:r>
      <w:r w:rsidDel="00000000" w:rsidR="00000000" w:rsidRPr="00000000">
        <w:rPr>
          <w:rFonts w:ascii="Arial" w:cs="Arial" w:eastAsia="Arial" w:hAnsi="Arial"/>
          <w:sz w:val="28"/>
          <w:szCs w:val="28"/>
          <w:rtl w:val="0"/>
        </w:rPr>
        <w:t xml:space="preserve"> The impact of the MIT-BIH Arrhythmia Database / G. B. Moody, R. G. Mark // IEEE Engineering in Medicine and Biology Magazine. – 2001. – Vol. 20, no. 3. – P. 45–50. </w:t>
      </w:r>
      <w:r w:rsidDel="00000000" w:rsidR="00000000" w:rsidRPr="00000000">
        <w:rPr>
          <w:rFonts w:ascii="Arial" w:cs="Arial" w:eastAsia="Arial" w:hAnsi="Arial"/>
          <w:i w:val="1"/>
          <w:iCs w:val="1"/>
          <w:sz w:val="28"/>
          <w:szCs w:val="28"/>
          <w:rtl w:val="0"/>
        </w:rPr>
        <w:t xml:space="preserve">(Верификация по базе данных MIT-BIH)</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F">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Bluetooth</w:t>
      </w:r>
      <w:r w:rsidDel="00000000" w:rsidR="00000000" w:rsidRPr="00000000">
        <w:rPr>
          <w:rFonts w:ascii="Arial" w:cs="Arial" w:eastAsia="Arial" w:hAnsi="Arial"/>
          <w:sz w:val="28"/>
          <w:szCs w:val="28"/>
          <w:rtl w:val="0"/>
        </w:rPr>
        <w:t xml:space="preserve"> Core Specification v4.2 [Electronic resource] / Bluetooth Special Interest Group (SIG). – 2014. – URL:</w:t>
      </w:r>
      <w:hyperlink r:id="rId10">
        <w:r w:rsidDel="00000000" w:rsidR="00000000" w:rsidRPr="00000000">
          <w:rPr>
            <w:rFonts w:ascii="Arial" w:cs="Arial" w:eastAsia="Arial" w:hAnsi="Arial"/>
            <w:sz w:val="28"/>
            <w:szCs w:val="28"/>
            <w:rtl w:val="0"/>
          </w:rPr>
          <w:t xml:space="preserve"> </w:t>
        </w:r>
      </w:hyperlink>
      <w:hyperlink r:id="rId11">
        <w:r w:rsidDel="00000000" w:rsidR="00000000" w:rsidRPr="00000000">
          <w:rPr>
            <w:rFonts w:ascii="Arial" w:cs="Arial" w:eastAsia="Arial" w:hAnsi="Arial"/>
            <w:color w:val="1155cc"/>
            <w:sz w:val="28"/>
            <w:szCs w:val="28"/>
            <w:u w:val="single"/>
            <w:rtl w:val="0"/>
          </w:rPr>
          <w:t xml:space="preserve">https://www.bluetooth.com</w:t>
        </w:r>
      </w:hyperlink>
      <w:r w:rsidDel="00000000" w:rsidR="00000000" w:rsidRPr="00000000">
        <w:rPr>
          <w:rFonts w:ascii="Arial" w:cs="Arial" w:eastAsia="Arial" w:hAnsi="Arial"/>
          <w:sz w:val="28"/>
          <w:szCs w:val="28"/>
          <w:rtl w:val="0"/>
        </w:rPr>
        <w:t xml:space="preserve"> (дата обращения: 17.03.2026). </w:t>
      </w:r>
      <w:r w:rsidDel="00000000" w:rsidR="00000000" w:rsidRPr="00000000">
        <w:rPr>
          <w:rFonts w:ascii="Arial" w:cs="Arial" w:eastAsia="Arial" w:hAnsi="Arial"/>
          <w:i w:val="1"/>
          <w:iCs w:val="1"/>
          <w:sz w:val="28"/>
          <w:szCs w:val="28"/>
          <w:rtl w:val="0"/>
        </w:rPr>
        <w:t xml:space="preserve">(Параметры протокола BLE 4.2)</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0">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Golsorkhi, A.</w:t>
      </w:r>
      <w:r w:rsidDel="00000000" w:rsidR="00000000" w:rsidRPr="00000000">
        <w:rPr>
          <w:rFonts w:ascii="Arial" w:cs="Arial" w:eastAsia="Arial" w:hAnsi="Arial"/>
          <w:sz w:val="28"/>
          <w:szCs w:val="28"/>
          <w:rtl w:val="0"/>
        </w:rPr>
        <w:t xml:space="preserve"> Energy-Efficient Signal Processing for Next-Generation Wearable Health Monitoring Systems / A. Golsorkhi, M. Safarpour // Journal of Low Power Electronics and Applications. – 2021. – Vol. 11, no. 2. – P. 18. </w:t>
      </w:r>
      <w:r w:rsidDel="00000000" w:rsidR="00000000" w:rsidRPr="00000000">
        <w:rPr>
          <w:rFonts w:ascii="Arial" w:cs="Arial" w:eastAsia="Arial" w:hAnsi="Arial"/>
          <w:i w:val="1"/>
          <w:iCs w:val="1"/>
          <w:sz w:val="28"/>
          <w:szCs w:val="28"/>
          <w:rtl w:val="0"/>
        </w:rPr>
        <w:t xml:space="preserve">(Анализ потребления при 0.8–1.2 мВт, упомянутый в тексте)</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1">
      <w:pPr>
        <w:numPr>
          <w:ilvl w:val="0"/>
          <w:numId w:val="1"/>
        </w:numPr>
        <w:spacing w:after="0" w:afterAutospacing="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Corless, R. M.</w:t>
      </w:r>
      <w:r w:rsidDel="00000000" w:rsidR="00000000" w:rsidRPr="00000000">
        <w:rPr>
          <w:rFonts w:ascii="Arial" w:cs="Arial" w:eastAsia="Arial" w:hAnsi="Arial"/>
          <w:sz w:val="28"/>
          <w:szCs w:val="28"/>
          <w:rtl w:val="0"/>
        </w:rPr>
        <w:t xml:space="preserve"> On the Lambert W function / R. M. Corless [et al.] // Advances in Computational Mathematics. – 1996. – Vol. 5. – P. 329–359. </w:t>
      </w:r>
      <w:r w:rsidDel="00000000" w:rsidR="00000000" w:rsidRPr="00000000">
        <w:rPr>
          <w:rFonts w:ascii="Arial" w:cs="Arial" w:eastAsia="Arial" w:hAnsi="Arial"/>
          <w:i w:val="1"/>
          <w:iCs w:val="1"/>
          <w:sz w:val="28"/>
          <w:szCs w:val="28"/>
          <w:rtl w:val="0"/>
        </w:rPr>
        <w:t xml:space="preserve">(Обоснование использования функции $W$ Ламберта для аналитических решений)</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2">
      <w:pPr>
        <w:numPr>
          <w:ilvl w:val="0"/>
          <w:numId w:val="1"/>
        </w:numPr>
        <w:spacing w:after="240" w:line="276" w:lineRule="auto"/>
        <w:ind w:left="720" w:hanging="360"/>
        <w:rPr>
          <w:sz w:val="28"/>
          <w:szCs w:val="28"/>
        </w:rPr>
      </w:pPr>
      <w:r w:rsidDel="00000000" w:rsidR="00000000" w:rsidRPr="00000000">
        <w:rPr>
          <w:rFonts w:ascii="Arial" w:cs="Arial" w:eastAsia="Arial" w:hAnsi="Arial"/>
          <w:b w:val="1"/>
          <w:bCs w:val="1"/>
          <w:sz w:val="28"/>
          <w:szCs w:val="28"/>
          <w:rtl w:val="0"/>
        </w:rPr>
        <w:t xml:space="preserve">CMSIS-DSP</w:t>
      </w:r>
      <w:r w:rsidDel="00000000" w:rsidR="00000000" w:rsidRPr="00000000">
        <w:rPr>
          <w:rFonts w:ascii="Arial" w:cs="Arial" w:eastAsia="Arial" w:hAnsi="Arial"/>
          <w:sz w:val="28"/>
          <w:szCs w:val="28"/>
          <w:rtl w:val="0"/>
        </w:rPr>
        <w:t xml:space="preserve"> Software Library [Electronic resource] / Arm Limited. – 2022. – URL:</w:t>
      </w:r>
      <w:hyperlink r:id="rId12">
        <w:r w:rsidDel="00000000" w:rsidR="00000000" w:rsidRPr="00000000">
          <w:rPr>
            <w:rFonts w:ascii="Arial" w:cs="Arial" w:eastAsia="Arial" w:hAnsi="Arial"/>
            <w:sz w:val="28"/>
            <w:szCs w:val="28"/>
            <w:rtl w:val="0"/>
          </w:rPr>
          <w:t xml:space="preserve"> </w:t>
        </w:r>
      </w:hyperlink>
      <w:hyperlink r:id="rId13">
        <w:r w:rsidDel="00000000" w:rsidR="00000000" w:rsidRPr="00000000">
          <w:rPr>
            <w:rFonts w:ascii="Arial" w:cs="Arial" w:eastAsia="Arial" w:hAnsi="Arial"/>
            <w:color w:val="1155cc"/>
            <w:sz w:val="28"/>
            <w:szCs w:val="28"/>
            <w:u w:val="single"/>
            <w:rtl w:val="0"/>
          </w:rPr>
          <w:t xml:space="preserve">https://www.arm.com</w:t>
        </w:r>
      </w:hyperlink>
      <w:r w:rsidDel="00000000" w:rsidR="00000000" w:rsidRPr="00000000">
        <w:rPr>
          <w:rFonts w:ascii="Arial" w:cs="Arial" w:eastAsia="Arial" w:hAnsi="Arial"/>
          <w:sz w:val="28"/>
          <w:szCs w:val="28"/>
          <w:rtl w:val="0"/>
        </w:rPr>
        <w:t xml:space="preserve"> (дата обращения: 17.03.2026). </w:t>
      </w:r>
      <w:r w:rsidDel="00000000" w:rsidR="00000000" w:rsidRPr="00000000">
        <w:rPr>
          <w:rFonts w:ascii="Arial" w:cs="Arial" w:eastAsia="Arial" w:hAnsi="Arial"/>
          <w:i w:val="1"/>
          <w:iCs w:val="1"/>
          <w:sz w:val="28"/>
          <w:szCs w:val="28"/>
          <w:rtl w:val="0"/>
        </w:rPr>
        <w:t xml:space="preserve">(Оптимизация фильтров на ассемблерных инструкциях)</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luetooth.com/" TargetMode="External"/><Relationship Id="rId10" Type="http://schemas.openxmlformats.org/officeDocument/2006/relationships/hyperlink" Target="https://www.bluetooth.com/" TargetMode="External"/><Relationship Id="rId13" Type="http://schemas.openxmlformats.org/officeDocument/2006/relationships/hyperlink" Target="https://www.arm.com/" TargetMode="External"/><Relationship Id="rId12" Type="http://schemas.openxmlformats.org/officeDocument/2006/relationships/hyperlink" Target="https://www.ar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