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 сравнении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СТАРАЯ РЕДАКЦИЯ</w:t>
            </w:r>
          </w:p>
        </w:tc>
        <w:tc>
          <w:tcPr>
            <w:tcW w:type="dxa" w:w="4320"/>
          </w:tcPr>
          <w:p>
            <w:r>
              <w:t>НОВАЯ РЕДАКЦИЯ / АНАЛИЗ</w:t>
            </w:r>
          </w:p>
        </w:tc>
      </w:tr>
      <w:tr>
        <w:tc>
          <w:tcPr>
            <w:tcW w:type="dxa" w:w="4320"/>
          </w:tcPr>
          <w:p>
            <w:r>
              <w:t>ДИНАМИЧЕСКОЕ РАСПРЕДЕЛЕНИЕ ВЫЧИСЛИТЕЛЬНЫХ РЕСУРСОВ В АРХИТЕКТУРАХ С МНОЖЕСТВЕННОЙ АРЕНДОЙ НА ОСНОВЕ СТОХАСТИЧЕСКОЙ ОПТИМИЗАЦИИ</w:t>
            </w:r>
          </w:p>
        </w:tc>
        <w:tc>
          <w:tcPr>
            <w:tcW w:type="dxa" w:w="4320"/>
            <w:shd w:fill="C6EFCE"/>
          </w:tcPr>
          <w:p>
            <w:r>
              <w:t>ДИНАМИЧЕСКОЕ РАСПРЕДЕЛЕНИЕ ВЫЧИСЛИТЕЛЬНЫХ РЕСУРСОВ В С МНОЖЕСТВЕННОЙ АРЕНДОЙ НА ОСНОВЕ СТОХАСТИЧЕСКОЙ ОПТИМИЗАЦИИ</w:t>
              <w:br/>
              <w:br/>
              <w:t>[АНАЛИЗ: Редакционная правка или замена на синонимы]</w:t>
            </w:r>
          </w:p>
        </w:tc>
      </w:tr>
      <w:tr>
        <w:tc>
          <w:tcPr>
            <w:tcW w:type="dxa" w:w="4320"/>
          </w:tcPr>
          <w:p>
            <w:r>
              <w:t>Трансформация исходной задачи в алгоритм оперативного управления реализуется через конструкцию квадратичной функции Ляпунова. Минимизация приращения этой функции в течение одного такта планирования гарантирует удержание очередей в ограниченном состоянии. Для интеграции энергетической составляющей применяется стратегия «дрейф-плюс-штраф», требующая на каждом временном шаге минимизации верхней границы функционала, где V рассматривается в качестве управляющего параметра Ляпунова. Полученная структура управления позволяет гарантировать, что отклонение от теоретического минимума мощности обратно пропорционально параметру V, в то время как средняя длина очереди растет линейно с его увеличением.</w:t>
            </w:r>
          </w:p>
        </w:tc>
        <w:tc>
          <w:tcPr>
            <w:tcW w:type="dxa" w:w="4320"/>
            <w:shd w:fill="C6EFCE"/>
          </w:tcPr>
          <w:p>
            <w:r>
              <w:t>Трансформация исходной задачи в алгоритм оперативного управления реализуется через конструкцию квадратичной функции Ляпунова . Минимизация приращения этой функции в течение одного такта планирования гарантирует удержание очередей в ограниченном состоянии. Для интеграции энергетической составляющей применяется стратегия «дрейф-плюс-штраф», требующая на каждом временном шаге минимизации верхней границы функционала , где  — управляющий параметр Ляпунова. Полученная структура управления позволяет гарантировать, что отклонение от теоретического минимума мощности обратно пропорционально параметру , в то время как средняя длина очереди растет линейно с его увеличением.</w:t>
              <w:br/>
              <w:br/>
              <w:t>[АНАЛИЗ: Редакционная правка или замена на синонимы]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Студент гр. 420604 ФИТУ УО «Белорусский государственный университет информатики и радиоэлектроники», 220013, Республика Беларусь, г. Минск, ул. П. Бровки, 6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Рисунок 1 - Сравнительный анализ энергетических затрат и временных задержек для стратегий «Always Local», «Always Offload» и предлагаемой модели Ляпунова в условиях зашумленного эфира (SNR &lt; 12 дБ).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Рисунок 2 - Динамика разряда аккумулятора (200 мАч) и деградация эффективной емкости: сравнение предложенной модели с виртуальной очередью штрафов и классических методов при пиковых нагрузках &gt; 40 мА.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STM32L476xx Ultra-low-power Arm® Cortex®-M4 32-bit MCU+FPU : datasheet [Электронный ресурс] / STMicroelectronics. – 2023. – URL: https://www.st.com (дата обращения: 17.03.2026). (Технические характеристики контроллера, ток 100 мкА/МГц).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Bluetooth Core Specification v4.2 [Electronic resource] / Bluetooth Special Interest Group (SIG). – 2014. – URL: https://www.bluetooth.com (дата обращения: 17.03.2026). (Параметры протокола BLE 4.2).</w:t>
              <w:br/>
              <w:br/>
              <w:t>[АНАЛИЗ: Новый блок, отсутствующий в старой редакции]</w:t>
            </w:r>
          </w:p>
        </w:tc>
      </w:tr>
      <w:tr>
        <w:tc>
          <w:tcPr>
            <w:tcW w:type="dxa" w:w="4320"/>
          </w:tcPr>
          <w:p>
            <w:r>
              <w:t>(Блок отсутствовал)</w:t>
            </w:r>
          </w:p>
        </w:tc>
        <w:tc>
          <w:tcPr>
            <w:tcW w:type="dxa" w:w="4320"/>
            <w:shd w:fill="FFC7CE"/>
          </w:tcPr>
          <w:p>
            <w:r>
              <w:t>Corless, R. M. On the Lambert W function / R. M. Corless [et al.] // Advances in Computational Mathematics. – 1996. – Vol. 5. – P. 329–359. (Обоснование использования функции $W$ Ламберта для аналитических решений).</w:t>
              <w:br/>
              <w:br/>
              <w:t>[АНАЛИЗ: Новый блок, отсутствующий в старой редакции]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