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w3gradr9j72f" w:id="0"/>
      <w:bookmarkEnd w:id="0"/>
      <w:r w:rsidDel="00000000" w:rsidR="00000000" w:rsidRPr="00000000">
        <w:rPr>
          <w:rtl w:val="0"/>
        </w:rPr>
        <w:t xml:space="preserve">Quantum Cryptographic Key Distribution Protocol</w:t>
      </w:r>
    </w:p>
    <w:p w:rsidR="00000000" w:rsidDel="00000000" w:rsidP="00000000" w:rsidRDefault="00000000" w:rsidRPr="00000000" w14:paraId="00000002">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quantum cryptographic system generates unbreakable encryption keys securely. Polarized photons carry quantum information through fiber optic cables. Computerized detectors measure particle spin states precisely. Cryptographers monitor transmission errors continuously throughout processes. Classical computers cannot decode quantum-encrypted messages effectively.</w:t>
      </w:r>
    </w:p>
    <w:p w:rsidR="00000000" w:rsidDel="00000000" w:rsidP="00000000" w:rsidRDefault="00000000" w:rsidRPr="00000000" w14:paraId="00000003">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Photonic crystals filter unwanted wavelengths automatically during transmission. The protocol's security relies on fundamental physics principles. Practitioners configure hardware parameters before initiating key exchanges. Quantum entanglement creates correlations between distant particles mysteriously. Detection equipment measures photon polarization angles accurately.</w:t>
      </w:r>
    </w:p>
    <w:p w:rsidR="00000000" w:rsidDel="00000000" w:rsidP="00000000" w:rsidRDefault="00000000" w:rsidRPr="00000000" w14:paraId="00000004">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Computational complexity makes classical decryption practically impossible. The system's throughput reaches gigabit speeds under optimal conditions. Fiber optic infrastructure enables long-distance quantum communication reliably. Crystalline substrates support photon generation processes efficiently. Environmental interference affects transmission quality significantly.</w:t>
      </w:r>
    </w:p>
    <w:p w:rsidR="00000000" w:rsidDel="00000000" w:rsidP="00000000" w:rsidRDefault="00000000" w:rsidRPr="00000000" w14:paraId="00000005">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Statistical analysis validates key randomness mathematically. The protocol's robustness withstands sophisticated attack strategies. Practitioners require specialized training in quantum mechanics principles. Photonic components operate at cryogenic temperatures consistently. Classical authentication prevents man-in-the-middle attacks effectively.</w:t>
      </w:r>
    </w:p>
    <w:p w:rsidR="00000000" w:rsidDel="00000000" w:rsidP="00000000" w:rsidRDefault="00000000" w:rsidRPr="00000000" w14:paraId="00000006">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Cryptographic applications include banking and government communications. The technology's scalability enables network-wide implementation gradually. Quantum decoherence limits practical transmission distances currently. Polarization-maintaining fibers preserve quantum states reliably. Commercial deployment requires significant infrastructure investment.</w:t>
      </w:r>
    </w:p>
    <w:p w:rsidR="00000000" w:rsidDel="00000000" w:rsidP="00000000" w:rsidRDefault="00000000" w:rsidRPr="00000000" w14:paraId="00000007">
      <w:pPr>
        <w:ind w:firstLine="720"/>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ind w:firstLine="720"/>
        <w:rPr/>
      </w:pPr>
      <w:bookmarkStart w:colFirst="0" w:colLast="0" w:name="_heading=h.gxxsaf2pbvrz" w:id="1"/>
      <w:bookmarkEnd w:id="1"/>
      <w:r w:rsidDel="00000000" w:rsidR="00000000" w:rsidRPr="00000000">
        <w:rPr>
          <w:rtl w:val="0"/>
        </w:rPr>
        <w:t xml:space="preserve">Reagent Passage</w:t>
      </w:r>
    </w:p>
    <w:p w:rsidR="00000000" w:rsidDel="00000000" w:rsidP="00000000" w:rsidRDefault="00000000" w:rsidRPr="00000000" w14:paraId="00000009">
      <w:pPr>
        <w:keepNext w:val="0"/>
        <w:keepLines w:val="0"/>
        <w:ind w:firstLine="720"/>
        <w:rPr>
          <w:sz w:val="30"/>
          <w:szCs w:val="30"/>
        </w:rPr>
      </w:pPr>
      <w:r w:rsidDel="00000000" w:rsidR="00000000" w:rsidRPr="00000000">
        <w:rPr>
          <w:sz w:val="30"/>
          <w:szCs w:val="30"/>
          <w:rtl w:val="0"/>
        </w:rPr>
        <w:t xml:space="preserve">Reagents are fed into the FlowChem A7 via syringe pumps or standard lab lines. The user loads reagents into sealed cartridges; each cartridge can hold up to 100 mL of liquid. Inside the reactor block, precision valves route fluids into different reaction loops. Some modules include UV-transparent windows for photochemical reactions using an internal LED light source. Others have high-pressure mixing to reach supercritical conditions safely. The device includes pressure sensors and flow meters at key points to monitor the process. </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An onboard microprocessor controls the entire process. It runs custom software to schedule pump timing, temperature profiles, and mixing ratios. Users can set up sequences through a touchscreen interface, selecting predefined protocols or creating custom ones. Data from each run, such as temperature, pressure, and yield, is logged in the system memory. If any parameter goes out of range, the FlowChem A7 automatically shuts off the pumps and vents the system to ensure safety. The onboard processor is an ARM-based microcontroller running a real-time OS, and all data is encrypted in its database. A built-in UPS provides backup power in case of outages.</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sz w:val="30"/>
          <w:szCs w:val="30"/>
        </w:rPr>
      </w:pPr>
      <w:r w:rsidDel="00000000" w:rsidR="00000000" w:rsidRPr="00000000">
        <w:rPr>
          <w:rtl w:val="0"/>
        </w:rPr>
      </w:r>
    </w:p>
    <w:p w:rsidR="00000000" w:rsidDel="00000000" w:rsidP="00000000" w:rsidRDefault="00000000" w:rsidRPr="00000000" w14:paraId="0000000C">
      <w:pPr>
        <w:keepNext w:val="0"/>
        <w:keepLines w:val="0"/>
        <w:ind w:firstLine="720"/>
        <w:rPr/>
      </w:pPr>
      <w:r w:rsidDel="00000000" w:rsidR="00000000" w:rsidRPr="00000000">
        <w:rPr>
          <w:rtl w:val="0"/>
        </w:rPr>
      </w:r>
    </w:p>
    <w:p w:rsidR="00000000" w:rsidDel="00000000" w:rsidP="00000000" w:rsidRDefault="00000000" w:rsidRPr="00000000" w14:paraId="0000000D">
      <w:pPr>
        <w:pStyle w:val="Heading1"/>
        <w:keepNext w:val="0"/>
        <w:keepLines w:val="0"/>
        <w:ind w:firstLine="720"/>
        <w:rPr/>
      </w:pPr>
      <w:bookmarkStart w:colFirst="0" w:colLast="0" w:name="_heading=h.q1jz0dq0p57z" w:id="2"/>
      <w:bookmarkEnd w:id="2"/>
      <w:r w:rsidDel="00000000" w:rsidR="00000000" w:rsidRPr="00000000">
        <w:rPr>
          <w:rtl w:val="0"/>
        </w:rPr>
        <w:t xml:space="preserve">Biotechnology Protein Purification Protocol</w:t>
      </w:r>
    </w:p>
    <w:p w:rsidR="00000000" w:rsidDel="00000000" w:rsidP="00000000" w:rsidRDefault="00000000" w:rsidRPr="00000000" w14:paraId="0000000E">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protein purification protocol isolates target molecules specifically. Chromatographic columns separate proteins based on properties. Computerized systems monitor purification progress automatically. Biochemists optimize conditions for maximum yield consistently. Crystallization produces pure protein samples for analysis.</w:t>
      </w:r>
    </w:p>
    <w:p w:rsidR="00000000" w:rsidDel="00000000" w:rsidP="00000000" w:rsidRDefault="00000000" w:rsidRPr="00000000" w14:paraId="0000000F">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Precipitation techniques concentrate proteins from dilute solutions. The protocol's efficiency determines final product quality. Practitioners maintain sterile conditions throughout procedures carefully. Spectrophotometric assays measure protein concentrations accurately. Computational modeling predicts purification behavior reliably.</w:t>
      </w:r>
    </w:p>
    <w:p w:rsidR="00000000" w:rsidDel="00000000" w:rsidP="00000000" w:rsidRDefault="00000000" w:rsidRPr="00000000" w14:paraId="00000010">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Centrifugation separates particles by density differences effectively. The system's capacity handles industrial-scale production volumes. Filtration removes contaminants and unwanted particles. Crystalline structures reveal protein conformations precisely. Kinetic studies characterize enzyme activities quantitatively.</w:t>
      </w:r>
    </w:p>
    <w:p w:rsidR="00000000" w:rsidDel="00000000" w:rsidP="00000000" w:rsidRDefault="00000000" w:rsidRPr="00000000" w14:paraId="00000011">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Statistical analysis validates purification reproducibility mathematically. The procedure's standardization ensures consistent results. Practitioners require expertise in biochemical techniques. Chromatographic media provide selective binding properties. Classical thermodynamics governs protein folding processes.</w:t>
      </w:r>
    </w:p>
    <w:p w:rsidR="00000000" w:rsidDel="00000000" w:rsidP="00000000" w:rsidRDefault="00000000" w:rsidRPr="00000000" w14:paraId="00000012">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Pharmaceutical applications demand high-purity protein products. The technology's scalability enables commercial manufacturing. Purification methods continue advancing with new materials. Crystallographic analysis confirms protein structures definitively. Commercial biotechnology relies on efficient purification protocols.</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heading=h.tcfcw5r485o9" w:id="3"/>
      <w:bookmarkEnd w:id="3"/>
      <w:r w:rsidDel="00000000" w:rsidR="00000000" w:rsidRPr="00000000">
        <w:rPr>
          <w:rtl w:val="0"/>
        </w:rPr>
        <w:t xml:space="preserve">StarLensCube: A Multi-Spectral Earth Observation Satellite</w:t>
      </w:r>
    </w:p>
    <w:p w:rsidR="00000000" w:rsidDel="00000000" w:rsidP="00000000" w:rsidRDefault="00000000" w:rsidRPr="00000000" w14:paraId="00000014">
      <w:pPr>
        <w:spacing w:after="24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StarLensCube is a next-generation Earth imaging CubeSat designed for high-resolution, multi-spectral surveillance. This small satellite carries a compact optical payload featuring a high-quality camera array. It captures visible, near-infrared, and thermal infrared images in a single pass over target areas. The onboard imaging system uses a precision gimballed mirror and adaptive focus mechanism to optimize image sharpness from orbit. Data is processed by an onboard FPGA and GPU before transmission to ground stations.</w:t>
      </w:r>
    </w:p>
    <w:p w:rsidR="00000000" w:rsidDel="00000000" w:rsidP="00000000" w:rsidRDefault="00000000" w:rsidRPr="00000000" w14:paraId="00000016">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StarLensCube operates in a polar sun-synchronous orbit, allowing it to scan every point on Earth at consistent local times. Power is generated by high-efficiency solar panels, while lithium-ion batteries store energy for eclipse periods. Attitude control is managed by reaction wheels and magnetorquers to maintain stability. Small cold-gas thrusters provide orbital corrections and deorbit capability. A robust thermal control system uses radiators and phase-change materials to protect components from extreme temperatures and vacuum exposure. Active heater circuits and multi-layer insulation ensure reliable performance during shadow periods.</w:t>
      </w:r>
    </w:p>
    <w:p w:rsidR="00000000" w:rsidDel="00000000" w:rsidP="00000000" w:rsidRDefault="00000000" w:rsidRPr="00000000" w14:paraId="00000017">
      <w:pPr>
        <w:spacing w:after="24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8">
      <w:pPr>
        <w:ind w:firstLine="720"/>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ind w:firstLine="720"/>
        <w:rPr/>
      </w:pPr>
      <w:bookmarkStart w:colFirst="0" w:colLast="0" w:name="_heading=h.olzyxrnb7gk8" w:id="4"/>
      <w:bookmarkEnd w:id="4"/>
      <w:r w:rsidDel="00000000" w:rsidR="00000000" w:rsidRPr="00000000">
        <w:rPr>
          <w:rtl w:val="0"/>
        </w:rPr>
        <w:t xml:space="preserve">CardioFlex Passage</w:t>
      </w:r>
    </w:p>
    <w:p w:rsidR="00000000" w:rsidDel="00000000" w:rsidP="00000000" w:rsidRDefault="00000000" w:rsidRPr="00000000" w14:paraId="0000001A">
      <w:pPr>
        <w:rPr>
          <w:rFonts w:ascii="Arial" w:cs="Arial" w:eastAsia="Arial" w:hAnsi="Arial"/>
          <w:sz w:val="26"/>
          <w:szCs w:val="26"/>
        </w:rPr>
      </w:pPr>
      <w:r w:rsidDel="00000000" w:rsidR="00000000" w:rsidRPr="00000000">
        <w:rPr>
          <w:rFonts w:ascii="Arial" w:cs="Arial" w:eastAsia="Arial" w:hAnsi="Arial"/>
          <w:sz w:val="26"/>
          <w:szCs w:val="26"/>
          <w:rtl w:val="0"/>
        </w:rPr>
        <w:t xml:space="preserve">The CardioFlex system supports weakened blood vessels structurally. Polymeric scaffolds expand within arterial walls gradually. Percutaneous delivery minimizes surgical complications significantly. Fluoroscopic guidance ensures precise device placement consistently. Patients receive anticoagulation therapy before procedures begin.</w:t>
      </w:r>
    </w:p>
    <w:p w:rsidR="00000000" w:rsidDel="00000000" w:rsidP="00000000" w:rsidRDefault="00000000" w:rsidRPr="00000000" w14:paraId="0000001B">
      <w:pPr>
        <w:rPr>
          <w:rFonts w:ascii="Arial" w:cs="Arial" w:eastAsia="Arial" w:hAnsi="Arial"/>
          <w:sz w:val="26"/>
          <w:szCs w:val="26"/>
        </w:rPr>
      </w:pPr>
      <w:r w:rsidDel="00000000" w:rsidR="00000000" w:rsidRPr="00000000">
        <w:rPr>
          <w:rFonts w:ascii="Arial" w:cs="Arial" w:eastAsia="Arial" w:hAnsi="Arial"/>
          <w:sz w:val="26"/>
          <w:szCs w:val="26"/>
          <w:rtl w:val="0"/>
        </w:rPr>
        <w:t xml:space="preserve">Biodegradable materials dissolve safely over time completely. The scaffold's geometry adapts to vessel curvature naturally. Catheter-based insertion reduces recovery periods substantially. Thrombotic risks remain minimal with modern protocols. Clinical outcomes exceed traditional surgical approaches consistently.</w:t>
      </w:r>
    </w:p>
    <w:p w:rsidR="00000000" w:rsidDel="00000000" w:rsidP="00000000" w:rsidRDefault="00000000" w:rsidRPr="00000000" w14:paraId="0000001C">
      <w:pPr>
        <w:rPr>
          <w:rFonts w:ascii="Arial" w:cs="Arial" w:eastAsia="Arial" w:hAnsi="Arial"/>
          <w:sz w:val="26"/>
          <w:szCs w:val="26"/>
        </w:rPr>
      </w:pPr>
      <w:r w:rsidDel="00000000" w:rsidR="00000000" w:rsidRPr="00000000">
        <w:rPr>
          <w:rFonts w:ascii="Arial" w:cs="Arial" w:eastAsia="Arial" w:hAnsi="Arial"/>
          <w:sz w:val="26"/>
          <w:szCs w:val="26"/>
          <w:rtl w:val="0"/>
        </w:rPr>
        <w:t xml:space="preserve">Contraindications include severe calcification and small vessels. The device's radiopacity enables clear visualization continuously. Practitioners require extensive training before independent deployment. Inflammatory responses subside within weeks typically. Long-term patency rates demonstrate excellent durability.</w:t>
      </w:r>
    </w:p>
    <w:p w:rsidR="00000000" w:rsidDel="00000000" w:rsidP="00000000" w:rsidRDefault="00000000" w:rsidRPr="00000000" w14:paraId="0000001D">
      <w:pPr>
        <w:rPr>
          <w:rFonts w:ascii="Arial" w:cs="Arial" w:eastAsia="Arial" w:hAnsi="Arial"/>
          <w:sz w:val="26"/>
          <w:szCs w:val="26"/>
        </w:rPr>
      </w:pPr>
      <w:r w:rsidDel="00000000" w:rsidR="00000000" w:rsidRPr="00000000">
        <w:rPr>
          <w:rFonts w:ascii="Arial" w:cs="Arial" w:eastAsia="Arial" w:hAnsi="Arial"/>
          <w:sz w:val="26"/>
          <w:szCs w:val="26"/>
          <w:rtl w:val="0"/>
        </w:rPr>
        <w:t xml:space="preserve">Crystalline drug coatings prevent restenosis effectively. The system's flexibility accommodates vessel movement naturally. Pharmaceutical elution occurs gradually over months. Chronic blockages respond better than acute occlusions. Postprocedural monitoring detects complications early.</w:t>
      </w:r>
    </w:p>
    <w:p w:rsidR="00000000" w:rsidDel="00000000" w:rsidP="00000000" w:rsidRDefault="00000000" w:rsidRPr="00000000" w14:paraId="0000001E">
      <w:pPr>
        <w:rPr>
          <w:rFonts w:ascii="Arial" w:cs="Arial" w:eastAsia="Arial" w:hAnsi="Arial"/>
          <w:sz w:val="26"/>
          <w:szCs w:val="26"/>
        </w:rPr>
      </w:pPr>
      <w:r w:rsidDel="00000000" w:rsidR="00000000" w:rsidRPr="00000000">
        <w:rPr>
          <w:rFonts w:ascii="Arial" w:cs="Arial" w:eastAsia="Arial" w:hAnsi="Arial"/>
          <w:sz w:val="26"/>
          <w:szCs w:val="26"/>
          <w:rtl w:val="0"/>
        </w:rPr>
        <w:t xml:space="preserve">Computational modeling predicts optimal sizing accurately. The device's biocompatibility prevents adverse reactions consistently. Percutaneous removal becomes possible if necessary. Thrombogenic potential remains extremely low historically. Clinical registries track performance data continuously.</w:t>
      </w:r>
    </w:p>
    <w:p w:rsidR="00000000" w:rsidDel="00000000" w:rsidP="00000000" w:rsidRDefault="00000000" w:rsidRPr="00000000" w14:paraId="0000001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5">
      <w:pPr>
        <w:spacing w:after="24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6">
      <w:pPr>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enrgzfqezft4" w:id="5"/>
      <w:bookmarkEnd w:id="5"/>
      <w:r w:rsidDel="00000000" w:rsidR="00000000" w:rsidRPr="00000000">
        <w:rPr>
          <w:rtl w:val="0"/>
        </w:rPr>
        <w:t xml:space="preserve">Synthocept RX: A Next-Gen Therapeutic Patch for Neurological Symptoms</w:t>
      </w:r>
    </w:p>
    <w:p w:rsidR="00000000" w:rsidDel="00000000" w:rsidP="00000000" w:rsidRDefault="00000000" w:rsidRPr="00000000" w14:paraId="00000028">
      <w:pPr>
        <w:rPr>
          <w:rFonts w:ascii="Arial" w:cs="Arial" w:eastAsia="Arial" w:hAnsi="Arial"/>
          <w:sz w:val="26"/>
          <w:szCs w:val="26"/>
        </w:rPr>
      </w:pPr>
      <w:r w:rsidDel="00000000" w:rsidR="00000000" w:rsidRPr="00000000">
        <w:rPr>
          <w:rFonts w:ascii="Arial" w:cs="Arial" w:eastAsia="Arial" w:hAnsi="Arial"/>
          <w:sz w:val="26"/>
          <w:szCs w:val="26"/>
          <w:rtl w:val="0"/>
        </w:rPr>
        <w:t xml:space="preserve">Synthocept combines brain-calming agents with rapid absorption tech. Its sticky patch uses tiny dissolving needles. Steady drug release prevents sudden side effects. Trials showed it reduces shaking and panic. Patients apply it weekly to clean skin. Avoid if allergic to plastic adhesives.</w:t>
      </w:r>
    </w:p>
    <w:p w:rsidR="00000000" w:rsidDel="00000000" w:rsidP="00000000" w:rsidRDefault="00000000" w:rsidRPr="00000000" w14:paraId="00000029">
      <w:pPr>
        <w:rPr>
          <w:rFonts w:ascii="Arial" w:cs="Arial" w:eastAsia="Arial" w:hAnsi="Arial"/>
          <w:sz w:val="26"/>
          <w:szCs w:val="26"/>
        </w:rPr>
      </w:pPr>
      <w:r w:rsidDel="00000000" w:rsidR="00000000" w:rsidRPr="00000000">
        <w:rPr>
          <w:rFonts w:ascii="Arial" w:cs="Arial" w:eastAsia="Arial" w:hAnsi="Arial"/>
          <w:sz w:val="26"/>
          <w:szCs w:val="26"/>
          <w:rtl w:val="0"/>
        </w:rPr>
        <w:t xml:space="preserve">The patch targets overactive nerve signals precisely. Start with low doses, then increase slowly. Mixing with heart medications requires doctor approval. Rare risks include dry mouth or dizziness. Speech issues may occur if overdosed.</w:t>
      </w:r>
    </w:p>
    <w:p w:rsidR="00000000" w:rsidDel="00000000" w:rsidP="00000000" w:rsidRDefault="00000000" w:rsidRPr="00000000" w14:paraId="0000002A">
      <w:pPr>
        <w:rPr>
          <w:rFonts w:ascii="Arial" w:cs="Arial" w:eastAsia="Arial" w:hAnsi="Arial"/>
          <w:sz w:val="26"/>
          <w:szCs w:val="26"/>
        </w:rPr>
      </w:pPr>
      <w:r w:rsidDel="00000000" w:rsidR="00000000" w:rsidRPr="00000000">
        <w:rPr>
          <w:rFonts w:ascii="Arial" w:cs="Arial" w:eastAsia="Arial" w:hAnsi="Arial"/>
          <w:sz w:val="26"/>
          <w:szCs w:val="26"/>
          <w:rtl w:val="0"/>
        </w:rPr>
        <w:t xml:space="preserve">Testing proved it quiets jittery brain waves. Blood tests monitor drug buildup risks. Cognitive therapy boosts the patch's benefits. The gel layer melts at body heat. Tiny crystals control how fast it works.</w:t>
      </w:r>
    </w:p>
    <w:p w:rsidR="00000000" w:rsidDel="00000000" w:rsidP="00000000" w:rsidRDefault="00000000" w:rsidRPr="00000000" w14:paraId="0000002B">
      <w:pPr>
        <w:rPr>
          <w:rFonts w:ascii="Arial" w:cs="Arial" w:eastAsia="Arial" w:hAnsi="Arial"/>
          <w:sz w:val="26"/>
          <w:szCs w:val="26"/>
        </w:rPr>
      </w:pPr>
      <w:r w:rsidDel="00000000" w:rsidR="00000000" w:rsidRPr="00000000">
        <w:rPr>
          <w:rFonts w:ascii="Arial" w:cs="Arial" w:eastAsia="Arial" w:hAnsi="Arial"/>
          <w:sz w:val="26"/>
          <w:szCs w:val="26"/>
          <w:rtl w:val="0"/>
        </w:rPr>
        <w:t xml:space="preserve">Doctors track progress using brain scan patterns. Implant versions are being tested now. It skips the liver to avoid damage. Similar drugs might cause unsafe reactions. Sleepiness fades after the first few doses.</w:t>
      </w:r>
    </w:p>
    <w:p w:rsidR="00000000" w:rsidDel="00000000" w:rsidP="00000000" w:rsidRDefault="00000000" w:rsidRPr="00000000" w14:paraId="0000002C">
      <w:pPr>
        <w:rPr>
          <w:rFonts w:ascii="Arial" w:cs="Arial" w:eastAsia="Arial" w:hAnsi="Arial"/>
          <w:sz w:val="26"/>
          <w:szCs w:val="26"/>
        </w:rPr>
      </w:pPr>
      <w:r w:rsidDel="00000000" w:rsidR="00000000" w:rsidRPr="00000000">
        <w:rPr>
          <w:rFonts w:ascii="Arial" w:cs="Arial" w:eastAsia="Arial" w:hAnsi="Arial"/>
          <w:sz w:val="26"/>
          <w:szCs w:val="26"/>
          <w:rtl w:val="0"/>
        </w:rPr>
        <w:t xml:space="preserve">Avoid using with blood pressure pills. The patch sticks firmly but removes painlessly. Faintness after standing needs careful watching. New versions aim to last ten days. Memory improvements appear after six weeks.</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40" w:before="240" w:lineRule="auto"/>
        <w:rPr/>
      </w:pPr>
      <w:bookmarkStart w:colFirst="0" w:colLast="0" w:name="_heading=h.lx4n9b91uzpi" w:id="6"/>
      <w:bookmarkEnd w:id="6"/>
      <w:r w:rsidDel="00000000" w:rsidR="00000000" w:rsidRPr="00000000">
        <w:rPr>
          <w:rtl w:val="0"/>
        </w:rPr>
        <w:t xml:space="preserve">CryoBlast Passage</w:t>
      </w:r>
    </w:p>
    <w:p w:rsidR="00000000" w:rsidDel="00000000" w:rsidP="00000000" w:rsidRDefault="00000000" w:rsidRPr="00000000" w14:paraId="0000002E">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CryoBlast system freezes problematic tissue precisely. Cold probes target specific cellular structures safely. Pneumatic controls guide the freezing process carefully. Thermographic imaging shows temperature changes clearly during procedures. Surgeons monitor tissue crystallization through specialized cameras constantly.</w:t>
      </w:r>
    </w:p>
    <w:p w:rsidR="00000000" w:rsidDel="00000000" w:rsidP="00000000" w:rsidRDefault="00000000" w:rsidRPr="00000000" w14:paraId="0000002F">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Bifurcated probes reach deeper anatomical locations effectively. Patients receive conscious sedation before treatment begins. Perioperative complications remain rare with proper technique. The cryogenic generator produces consistent temperatures reliably. Postoperative swelling subsides within seventy-two hours typically.</w:t>
      </w:r>
    </w:p>
    <w:p w:rsidR="00000000" w:rsidDel="00000000" w:rsidP="00000000" w:rsidRDefault="00000000" w:rsidRPr="00000000" w14:paraId="00000030">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Percutaneous insertion minimizes surgical trauma significantly. The probe's titanium tip conducts cold efficiently. Bronchoscopic guidance ensures accurate placement consistently. Computerized controls prevent excessive tissue destruction automatically. Clinical studies demonstrate superior patient outcomes repeatedly.</w:t>
      </w:r>
    </w:p>
    <w:p w:rsidR="00000000" w:rsidDel="00000000" w:rsidP="00000000" w:rsidRDefault="00000000" w:rsidRPr="00000000" w14:paraId="00000031">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Contraindications include bleeding disorders and pregnancy specifically. The system's compressor maintains steady pressure continuously. Practitioners require specialized training before operating independently. Thrombotic events occur infrequently with standard protocols. Recovery periods vary depending on treatment complexity.</w:t>
      </w:r>
    </w:p>
    <w:p w:rsidR="00000000" w:rsidDel="00000000" w:rsidP="00000000" w:rsidRDefault="00000000" w:rsidRPr="00000000" w14:paraId="00000032">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Crystalline formations indicate successful tissue destruction completely. The device's portability enables bedside procedures conveniently. Pharmaceutical cooling agents enhance freezing effectiveness substantially. Chronic conditions respond better than acute presentations generally. Postprocedural monitoring prevents serious complications consistently.</w:t>
      </w:r>
    </w:p>
    <w:p w:rsidR="00000000" w:rsidDel="00000000" w:rsidP="00000000" w:rsidRDefault="00000000" w:rsidRPr="00000000" w14:paraId="00000033">
      <w:pPr>
        <w:rPr>
          <w:rFonts w:ascii="Arial" w:cs="Arial" w:eastAsia="Arial" w:hAnsi="Arial"/>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c1MCDsEtlQSJrTxwuC234u0jQ==">CgMxLjAyDmgudzNncmFkcjlqNzJmMg5oLmd4eHNhZjJwYnZyejIOaC5xMWp6MGRxMHA1N3oyDmgudGNmY3c1cjQ4NW85Mg5oLm9senl4cm5iN2drODIOaC5lbnJnemZxZXpmdDQyDmgubHg0bjliOTF1enBpOAByITFzT1QybG5yU09pQ3pwdW1LLTJLZmx3N3l6ZnNuX1hlMg==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2025-07-23T17:18:00Z</dcterms:created>
  <dc:creator>Andrew</dc:creator>
</cp:coreProperties>
</file>