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i/>
          <w:i/>
        </w:rPr>
      </w:pPr>
      <w:bookmarkStart w:id="0" w:name="_GoBack"/>
      <w:bookmarkEnd w:id="0"/>
      <w:r>
        <w:rPr>
          <w:rFonts w:cs="Calibri" w:ascii="Calibri" w:hAnsi="Calibri" w:asciiTheme="minorHAnsi" w:cstheme="minorHAnsi" w:hAnsiTheme="minorHAnsi"/>
          <w:i/>
        </w:rPr>
        <w:t>National University of Ireland, Galway</w:t>
      </w:r>
    </w:p>
    <w:p>
      <w:pPr>
        <w:pStyle w:val="Normal"/>
        <w:jc w:val="center"/>
        <w:rPr>
          <w:rFonts w:ascii="Calibri" w:hAnsi="Calibri" w:cs="Calibri" w:asciiTheme="minorHAnsi" w:cstheme="minorHAnsi" w:hAnsiTheme="minorHAnsi"/>
          <w:i/>
          <w:i/>
        </w:rPr>
      </w:pPr>
      <w:r>
        <w:rPr>
          <w:rFonts w:cs="Calibri" w:cstheme="minorHAnsi" w:ascii="Calibri" w:hAnsi="Calibri"/>
          <w:i/>
        </w:rPr>
      </w:r>
    </w:p>
    <w:p>
      <w:pPr>
        <w:pStyle w:val="Normal"/>
        <w:jc w:val="center"/>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b/>
          <w:b/>
        </w:rPr>
      </w:pPr>
      <w:r>
        <w:rPr>
          <w:rFonts w:cs="Calibri" w:ascii="Calibri" w:hAnsi="Calibri" w:asciiTheme="minorHAnsi" w:cstheme="minorHAnsi" w:hAnsiTheme="minorHAnsi"/>
          <w:b/>
        </w:rPr>
        <w:t>Annual Student Report to GRC</w:t>
      </w:r>
    </w:p>
    <w:p>
      <w:pPr>
        <w:pStyle w:val="Normal"/>
        <w:jc w:val="center"/>
        <w:rPr>
          <w:rFonts w:ascii="Calibri" w:hAnsi="Calibri" w:cs="Calibri" w:asciiTheme="minorHAnsi" w:cstheme="minorHAnsi" w:hAnsiTheme="minorHAnsi"/>
          <w:b/>
          <w:b/>
        </w:rPr>
      </w:pPr>
      <w:r>
        <w:rPr>
          <w:rFonts w:cs="Calibri" w:cstheme="minorHAnsi" w:ascii="Calibri" w:hAnsi="Calibri"/>
          <w:b/>
        </w:rPr>
      </w:r>
    </w:p>
    <w:p>
      <w:pPr>
        <w:pStyle w:val="Normal"/>
        <w:jc w:val="center"/>
        <w:rPr>
          <w:rFonts w:ascii="Calibri" w:hAnsi="Calibri" w:cs="Calibri" w:asciiTheme="minorHAnsi" w:cstheme="minorHAnsi" w:hAnsiTheme="minorHAnsi"/>
          <w:b/>
          <w:b/>
        </w:rPr>
      </w:pPr>
      <w:r>
        <w:rPr>
          <w:rFonts w:cs="Calibri" w:cstheme="minorHAnsi" w:ascii="Calibri" w:hAnsi="Calibri"/>
          <w:b/>
        </w:rPr>
      </w:r>
    </w:p>
    <w:p>
      <w:pPr>
        <w:pStyle w:val="Normal"/>
        <w:jc w:val="center"/>
        <w:rPr>
          <w:rFonts w:ascii="Calibri" w:hAnsi="Calibri" w:cs="Calibri" w:asciiTheme="minorHAnsi" w:cstheme="minorHAnsi" w:hAnsiTheme="minorHAnsi"/>
          <w:i/>
          <w:i/>
          <w:kern w:val="2"/>
        </w:rPr>
      </w:pPr>
      <w:r>
        <w:rPr>
          <w:rFonts w:cs="Calibri" w:ascii="Calibri" w:hAnsi="Calibri" w:asciiTheme="minorHAnsi" w:cstheme="minorHAnsi" w:hAnsiTheme="minorHAnsi"/>
          <w:i/>
          <w:kern w:val="2"/>
        </w:rPr>
        <w:t>To be completed by all research (PhD, MD and Research Masters) students every year and submitted to the GRC in advance of the annual review meeting with the GRC.</w:t>
      </w:r>
    </w:p>
    <w:p>
      <w:pPr>
        <w:pStyle w:val="Normal"/>
        <w:jc w:val="center"/>
        <w:rPr>
          <w:rFonts w:ascii="Calibri" w:hAnsi="Calibri" w:cs="Calibri" w:asciiTheme="minorHAnsi" w:cstheme="minorHAnsi" w:hAnsiTheme="minorHAnsi"/>
          <w:i/>
          <w:i/>
          <w:kern w:val="2"/>
        </w:rPr>
      </w:pPr>
      <w:r>
        <w:rPr>
          <w:rFonts w:cs="Calibri" w:cstheme="minorHAnsi" w:ascii="Calibri" w:hAnsi="Calibri"/>
          <w:i/>
          <w:kern w:val="2"/>
        </w:rPr>
      </w:r>
    </w:p>
    <w:p>
      <w:pPr>
        <w:pStyle w:val="Normal"/>
        <w:jc w:val="center"/>
        <w:rPr>
          <w:rFonts w:ascii="Calibri" w:hAnsi="Calibri" w:cs="Calibri" w:asciiTheme="minorHAnsi" w:cstheme="minorHAnsi" w:hAnsiTheme="minorHAnsi"/>
        </w:rPr>
      </w:pPr>
      <w:r>
        <w:rPr>
          <w:rFonts w:cs="Calibri" w:cstheme="minorHAnsi" w:ascii="Calibri" w:hAnsi="Calibri"/>
        </w:rPr>
      </w:r>
    </w:p>
    <w:tbl>
      <w:tblPr>
        <w:tblW w:w="8789" w:type="dxa"/>
        <w:jc w:val="left"/>
        <w:tblInd w:w="199" w:type="dxa"/>
        <w:tblLayout w:type="fixed"/>
        <w:tblCellMar>
          <w:top w:w="57" w:type="dxa"/>
          <w:left w:w="57" w:type="dxa"/>
          <w:bottom w:w="57" w:type="dxa"/>
          <w:right w:w="57" w:type="dxa"/>
        </w:tblCellMar>
        <w:tblLook w:val="0000" w:noHBand="0" w:noVBand="0" w:firstColumn="0" w:lastRow="0" w:lastColumn="0" w:firstRow="0"/>
      </w:tblPr>
      <w:tblGrid>
        <w:gridCol w:w="3258"/>
        <w:gridCol w:w="5530"/>
      </w:tblGrid>
      <w:tr>
        <w:trPr>
          <w:trHeight w:val="414" w:hRule="atLeast"/>
        </w:trPr>
        <w:tc>
          <w:tcPr>
            <w:tcW w:w="3258" w:type="dxa"/>
            <w:tcBorders>
              <w:top w:val="single" w:sz="4" w:space="0" w:color="000000"/>
              <w:left w:val="single" w:sz="4" w:space="0" w:color="000000"/>
              <w:bottom w:val="single" w:sz="4" w:space="0" w:color="000000"/>
            </w:tcBorders>
          </w:tcPr>
          <w:p>
            <w:pPr>
              <w:pStyle w:val="Normal"/>
              <w:widowControl w:val="false"/>
              <w:rPr>
                <w:rFonts w:ascii="Calibri" w:hAnsi="Calibri" w:cs="Calibri" w:asciiTheme="minorHAnsi" w:cstheme="minorHAnsi" w:hAnsiTheme="minorHAnsi"/>
                <w:b/>
                <w:b/>
                <w:kern w:val="2"/>
              </w:rPr>
            </w:pPr>
            <w:r>
              <w:rPr>
                <w:rFonts w:cs="Calibri" w:ascii="Calibri" w:hAnsi="Calibri" w:asciiTheme="minorHAnsi" w:cstheme="minorHAnsi" w:hAnsiTheme="minorHAnsi"/>
                <w:b/>
                <w:kern w:val="2"/>
              </w:rPr>
              <w:t>Name of Student</w:t>
            </w:r>
          </w:p>
        </w:tc>
        <w:tc>
          <w:tcPr>
            <w:tcW w:w="5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rPr>
                <w:sz w:val="20"/>
                <w:szCs w:val="20"/>
              </w:rPr>
            </w:pPr>
            <w:r>
              <w:rPr>
                <w:sz w:val="20"/>
                <w:szCs w:val="20"/>
              </w:rPr>
            </w:r>
          </w:p>
          <w:p>
            <w:pPr>
              <w:pStyle w:val="Normal"/>
              <w:widowControl w:val="false"/>
              <w:snapToGrid w:val="false"/>
              <w:spacing w:lineRule="auto" w:line="480"/>
              <w:rPr>
                <w:sz w:val="20"/>
                <w:szCs w:val="20"/>
              </w:rPr>
            </w:pPr>
            <w:r>
              <w:rPr>
                <w:sz w:val="20"/>
                <w:szCs w:val="20"/>
              </w:rPr>
              <w:t>Karen Guerrero Vazquez</w:t>
            </w:r>
          </w:p>
        </w:tc>
      </w:tr>
      <w:tr>
        <w:trPr>
          <w:trHeight w:val="414" w:hRule="atLeast"/>
        </w:trPr>
        <w:tc>
          <w:tcPr>
            <w:tcW w:w="3258" w:type="dxa"/>
            <w:tcBorders>
              <w:top w:val="single" w:sz="4" w:space="0" w:color="000000"/>
              <w:left w:val="single" w:sz="4" w:space="0" w:color="000000"/>
              <w:bottom w:val="single" w:sz="4" w:space="0" w:color="000000"/>
            </w:tcBorders>
          </w:tcPr>
          <w:p>
            <w:pPr>
              <w:pStyle w:val="Normal"/>
              <w:widowControl w:val="false"/>
              <w:rPr>
                <w:rFonts w:ascii="Calibri" w:hAnsi="Calibri" w:cs="Calibri" w:asciiTheme="minorHAnsi" w:cstheme="minorHAnsi" w:hAnsiTheme="minorHAnsi"/>
                <w:b/>
                <w:b/>
                <w:kern w:val="2"/>
              </w:rPr>
            </w:pPr>
            <w:r>
              <w:rPr>
                <w:rFonts w:cs="Calibri" w:ascii="Calibri" w:hAnsi="Calibri" w:asciiTheme="minorHAnsi" w:cstheme="minorHAnsi" w:hAnsiTheme="minorHAnsi"/>
                <w:b/>
                <w:kern w:val="2"/>
              </w:rPr>
              <w:t>Student ID</w:t>
            </w:r>
          </w:p>
        </w:tc>
        <w:tc>
          <w:tcPr>
            <w:tcW w:w="5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rPr>
                <w:sz w:val="20"/>
                <w:szCs w:val="20"/>
              </w:rPr>
            </w:pPr>
            <w:r>
              <w:rPr>
                <w:sz w:val="20"/>
                <w:szCs w:val="20"/>
              </w:rPr>
            </w:r>
          </w:p>
          <w:p>
            <w:pPr>
              <w:pStyle w:val="Normal"/>
              <w:widowControl w:val="false"/>
              <w:snapToGrid w:val="false"/>
              <w:spacing w:lineRule="auto" w:line="480"/>
              <w:rPr>
                <w:sz w:val="20"/>
                <w:szCs w:val="20"/>
              </w:rPr>
            </w:pPr>
            <w:r>
              <w:rPr>
                <w:sz w:val="20"/>
                <w:szCs w:val="20"/>
              </w:rPr>
              <w:t>21124191</w:t>
            </w:r>
          </w:p>
        </w:tc>
      </w:tr>
      <w:tr>
        <w:trPr>
          <w:trHeight w:val="414" w:hRule="atLeast"/>
        </w:trPr>
        <w:tc>
          <w:tcPr>
            <w:tcW w:w="3258" w:type="dxa"/>
            <w:tcBorders>
              <w:top w:val="single" w:sz="4" w:space="0" w:color="000000"/>
              <w:left w:val="single" w:sz="4" w:space="0" w:color="000000"/>
              <w:bottom w:val="single" w:sz="4" w:space="0" w:color="000000"/>
            </w:tcBorders>
          </w:tcPr>
          <w:p>
            <w:pPr>
              <w:pStyle w:val="Normal"/>
              <w:widowControl w:val="false"/>
              <w:rPr>
                <w:rFonts w:ascii="Calibri" w:hAnsi="Calibri" w:cs="Calibri" w:asciiTheme="minorHAnsi" w:cstheme="minorHAnsi" w:hAnsiTheme="minorHAnsi"/>
                <w:b/>
                <w:b/>
                <w:kern w:val="2"/>
              </w:rPr>
            </w:pPr>
            <w:r>
              <w:rPr>
                <w:rFonts w:cs="Calibri" w:ascii="Calibri" w:hAnsi="Calibri" w:asciiTheme="minorHAnsi" w:cstheme="minorHAnsi" w:hAnsiTheme="minorHAnsi"/>
                <w:b/>
                <w:kern w:val="2"/>
              </w:rPr>
              <w:t>Year of Study</w:t>
            </w:r>
          </w:p>
        </w:tc>
        <w:tc>
          <w:tcPr>
            <w:tcW w:w="5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rPr>
                <w:sz w:val="20"/>
                <w:szCs w:val="20"/>
              </w:rPr>
            </w:pPr>
            <w:r>
              <w:rPr>
                <w:sz w:val="20"/>
                <w:szCs w:val="20"/>
              </w:rPr>
            </w:r>
          </w:p>
          <w:p>
            <w:pPr>
              <w:pStyle w:val="Normal"/>
              <w:widowControl w:val="false"/>
              <w:snapToGrid w:val="false"/>
              <w:spacing w:lineRule="auto" w:line="480"/>
              <w:rPr>
                <w:sz w:val="20"/>
                <w:szCs w:val="20"/>
              </w:rPr>
            </w:pPr>
            <w:r>
              <w:rPr>
                <w:sz w:val="20"/>
                <w:szCs w:val="20"/>
              </w:rPr>
              <w:t>2</w:t>
            </w:r>
          </w:p>
        </w:tc>
      </w:tr>
      <w:tr>
        <w:trPr>
          <w:trHeight w:val="414" w:hRule="atLeast"/>
        </w:trPr>
        <w:tc>
          <w:tcPr>
            <w:tcW w:w="3258" w:type="dxa"/>
            <w:tcBorders>
              <w:top w:val="single" w:sz="4" w:space="0" w:color="000000"/>
              <w:left w:val="single" w:sz="4" w:space="0" w:color="000000"/>
              <w:bottom w:val="single" w:sz="4" w:space="0" w:color="000000"/>
            </w:tcBorders>
          </w:tcPr>
          <w:p>
            <w:pPr>
              <w:pStyle w:val="Normal"/>
              <w:widowControl w:val="false"/>
              <w:rPr>
                <w:rFonts w:ascii="Calibri" w:hAnsi="Calibri" w:cs="Calibri" w:asciiTheme="minorHAnsi" w:cstheme="minorHAnsi" w:hAnsiTheme="minorHAnsi"/>
                <w:b/>
                <w:b/>
                <w:kern w:val="2"/>
              </w:rPr>
            </w:pPr>
            <w:r>
              <w:rPr>
                <w:rFonts w:cs="Calibri" w:ascii="Calibri" w:hAnsi="Calibri" w:asciiTheme="minorHAnsi" w:cstheme="minorHAnsi" w:hAnsiTheme="minorHAnsi"/>
                <w:b/>
                <w:kern w:val="2"/>
              </w:rPr>
              <w:t>PhD / MD / Research Masters</w:t>
            </w:r>
          </w:p>
        </w:tc>
        <w:tc>
          <w:tcPr>
            <w:tcW w:w="5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rPr>
                <w:sz w:val="20"/>
                <w:szCs w:val="20"/>
              </w:rPr>
            </w:pPr>
            <w:r>
              <w:rPr>
                <w:sz w:val="20"/>
                <w:szCs w:val="20"/>
              </w:rPr>
            </w:r>
          </w:p>
          <w:p>
            <w:pPr>
              <w:pStyle w:val="Normal"/>
              <w:widowControl w:val="false"/>
              <w:snapToGrid w:val="false"/>
              <w:spacing w:lineRule="auto" w:line="480"/>
              <w:rPr>
                <w:sz w:val="20"/>
                <w:szCs w:val="20"/>
              </w:rPr>
            </w:pPr>
            <w:r>
              <w:rPr>
                <w:sz w:val="20"/>
                <w:szCs w:val="20"/>
              </w:rPr>
              <w:t>PhD</w:t>
            </w:r>
          </w:p>
        </w:tc>
      </w:tr>
      <w:tr>
        <w:trPr>
          <w:trHeight w:val="414" w:hRule="atLeast"/>
        </w:trPr>
        <w:tc>
          <w:tcPr>
            <w:tcW w:w="3258" w:type="dxa"/>
            <w:tcBorders>
              <w:top w:val="single" w:sz="4" w:space="0" w:color="000000"/>
              <w:left w:val="single" w:sz="4" w:space="0" w:color="000000"/>
              <w:bottom w:val="single" w:sz="4" w:space="0" w:color="000000"/>
            </w:tcBorders>
          </w:tcPr>
          <w:p>
            <w:pPr>
              <w:pStyle w:val="Normal"/>
              <w:widowControl w:val="false"/>
              <w:rPr>
                <w:rFonts w:ascii="Calibri" w:hAnsi="Calibri" w:cs="Calibri" w:asciiTheme="minorHAnsi" w:cstheme="minorHAnsi" w:hAnsiTheme="minorHAnsi"/>
                <w:b/>
                <w:b/>
                <w:kern w:val="2"/>
              </w:rPr>
            </w:pPr>
            <w:r>
              <w:rPr>
                <w:rFonts w:cs="Calibri" w:ascii="Calibri" w:hAnsi="Calibri" w:asciiTheme="minorHAnsi" w:cstheme="minorHAnsi" w:hAnsiTheme="minorHAnsi"/>
                <w:b/>
                <w:kern w:val="2"/>
              </w:rPr>
              <w:t>Discipline / School</w:t>
            </w:r>
          </w:p>
        </w:tc>
        <w:tc>
          <w:tcPr>
            <w:tcW w:w="5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rPr>
                <w:sz w:val="20"/>
                <w:szCs w:val="20"/>
              </w:rPr>
            </w:pPr>
            <w:r>
              <w:rPr>
                <w:sz w:val="20"/>
                <w:szCs w:val="20"/>
              </w:rPr>
            </w:r>
          </w:p>
          <w:p>
            <w:pPr>
              <w:pStyle w:val="Normal"/>
              <w:widowControl w:val="false"/>
              <w:snapToGrid w:val="false"/>
              <w:spacing w:lineRule="auto" w:line="480"/>
              <w:rPr>
                <w:sz w:val="20"/>
                <w:szCs w:val="20"/>
              </w:rPr>
            </w:pPr>
            <w:r>
              <w:rPr>
                <w:sz w:val="20"/>
                <w:szCs w:val="20"/>
              </w:rPr>
              <w:t>School of Maths</w:t>
            </w:r>
          </w:p>
        </w:tc>
      </w:tr>
      <w:tr>
        <w:trPr>
          <w:trHeight w:val="414" w:hRule="atLeast"/>
        </w:trPr>
        <w:tc>
          <w:tcPr>
            <w:tcW w:w="3258" w:type="dxa"/>
            <w:tcBorders>
              <w:top w:val="single" w:sz="4" w:space="0" w:color="000000"/>
              <w:left w:val="single" w:sz="4" w:space="0" w:color="000000"/>
              <w:bottom w:val="single" w:sz="4" w:space="0" w:color="000000"/>
            </w:tcBorders>
          </w:tcPr>
          <w:p>
            <w:pPr>
              <w:pStyle w:val="Normal"/>
              <w:widowControl w:val="false"/>
              <w:rPr>
                <w:rFonts w:ascii="Calibri" w:hAnsi="Calibri" w:cs="Calibri" w:asciiTheme="minorHAnsi" w:cstheme="minorHAnsi" w:hAnsiTheme="minorHAnsi"/>
                <w:b/>
                <w:b/>
                <w:kern w:val="2"/>
              </w:rPr>
            </w:pPr>
            <w:r>
              <w:rPr>
                <w:rFonts w:cs="Calibri" w:ascii="Calibri" w:hAnsi="Calibri" w:asciiTheme="minorHAnsi" w:cstheme="minorHAnsi" w:hAnsiTheme="minorHAnsi"/>
                <w:b/>
                <w:kern w:val="2"/>
              </w:rPr>
              <w:t>Full or Part Time</w:t>
            </w:r>
          </w:p>
        </w:tc>
        <w:tc>
          <w:tcPr>
            <w:tcW w:w="5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rPr>
                <w:sz w:val="20"/>
                <w:szCs w:val="20"/>
              </w:rPr>
            </w:pPr>
            <w:r>
              <w:rPr>
                <w:sz w:val="20"/>
                <w:szCs w:val="20"/>
              </w:rPr>
            </w:r>
          </w:p>
          <w:p>
            <w:pPr>
              <w:pStyle w:val="Normal"/>
              <w:widowControl w:val="false"/>
              <w:snapToGrid w:val="false"/>
              <w:spacing w:lineRule="auto" w:line="480"/>
              <w:rPr>
                <w:sz w:val="20"/>
                <w:szCs w:val="20"/>
              </w:rPr>
            </w:pPr>
            <w:r>
              <w:rPr>
                <w:sz w:val="20"/>
                <w:szCs w:val="20"/>
              </w:rPr>
              <w:t>Full time</w:t>
            </w:r>
          </w:p>
        </w:tc>
      </w:tr>
      <w:tr>
        <w:trPr>
          <w:trHeight w:val="276" w:hRule="atLeast"/>
        </w:trPr>
        <w:tc>
          <w:tcPr>
            <w:tcW w:w="3258" w:type="dxa"/>
            <w:tcBorders>
              <w:left w:val="single" w:sz="4" w:space="0" w:color="000000"/>
              <w:bottom w:val="single" w:sz="4" w:space="0" w:color="000000"/>
            </w:tcBorders>
          </w:tcPr>
          <w:p>
            <w:pPr>
              <w:pStyle w:val="Normal"/>
              <w:widowControl w:val="false"/>
              <w:rPr>
                <w:rFonts w:ascii="Calibri" w:hAnsi="Calibri" w:cs="Calibri" w:asciiTheme="minorHAnsi" w:cstheme="minorHAnsi" w:hAnsiTheme="minorHAnsi"/>
                <w:b/>
                <w:b/>
                <w:kern w:val="2"/>
              </w:rPr>
            </w:pPr>
            <w:r>
              <w:rPr>
                <w:rFonts w:cs="Calibri" w:ascii="Calibri" w:hAnsi="Calibri" w:asciiTheme="minorHAnsi" w:cstheme="minorHAnsi" w:hAnsiTheme="minorHAnsi"/>
                <w:b/>
                <w:kern w:val="2"/>
              </w:rPr>
              <w:t>Name of Supervisor(s)</w:t>
            </w:r>
          </w:p>
        </w:tc>
        <w:tc>
          <w:tcPr>
            <w:tcW w:w="5530" w:type="dxa"/>
            <w:tcBorders>
              <w:left w:val="single" w:sz="4" w:space="0" w:color="000000"/>
              <w:bottom w:val="single" w:sz="4" w:space="0" w:color="000000"/>
              <w:right w:val="single" w:sz="4" w:space="0" w:color="000000"/>
            </w:tcBorders>
          </w:tcPr>
          <w:p>
            <w:pPr>
              <w:pStyle w:val="Normal"/>
              <w:widowControl w:val="false"/>
              <w:snapToGrid w:val="false"/>
              <w:spacing w:lineRule="auto" w:line="480"/>
              <w:rPr>
                <w:sz w:val="20"/>
                <w:szCs w:val="20"/>
              </w:rPr>
            </w:pPr>
            <w:r>
              <w:rPr>
                <w:sz w:val="20"/>
                <w:szCs w:val="20"/>
              </w:rPr>
            </w:r>
          </w:p>
          <w:p>
            <w:pPr>
              <w:pStyle w:val="Normal"/>
              <w:widowControl w:val="false"/>
              <w:snapToGrid w:val="false"/>
              <w:spacing w:lineRule="auto" w:line="480"/>
              <w:rPr>
                <w:sz w:val="20"/>
                <w:szCs w:val="20"/>
              </w:rPr>
            </w:pPr>
            <w:r>
              <w:rPr>
                <w:sz w:val="20"/>
                <w:szCs w:val="20"/>
              </w:rPr>
              <w:t>Goljanek-Whysall, Katarzyna and Pilib Ó Broin</w:t>
            </w:r>
          </w:p>
        </w:tc>
      </w:tr>
      <w:tr>
        <w:trPr>
          <w:trHeight w:val="276" w:hRule="atLeast"/>
        </w:trPr>
        <w:tc>
          <w:tcPr>
            <w:tcW w:w="3258" w:type="dxa"/>
            <w:tcBorders>
              <w:top w:val="single" w:sz="4" w:space="0" w:color="000000"/>
              <w:left w:val="single" w:sz="4" w:space="0" w:color="000000"/>
              <w:bottom w:val="single" w:sz="4" w:space="0" w:color="000000"/>
            </w:tcBorders>
          </w:tcPr>
          <w:p>
            <w:pPr>
              <w:pStyle w:val="Normal"/>
              <w:widowControl w:val="false"/>
              <w:rPr>
                <w:rFonts w:ascii="Calibri" w:hAnsi="Calibri" w:cs="Calibri" w:asciiTheme="minorHAnsi" w:cstheme="minorHAnsi" w:hAnsiTheme="minorHAnsi"/>
                <w:b/>
                <w:b/>
                <w:kern w:val="2"/>
              </w:rPr>
            </w:pPr>
            <w:r>
              <w:rPr>
                <w:rFonts w:cs="Calibri" w:ascii="Calibri" w:hAnsi="Calibri" w:asciiTheme="minorHAnsi" w:cstheme="minorHAnsi" w:hAnsiTheme="minorHAnsi"/>
                <w:b/>
                <w:kern w:val="2"/>
              </w:rPr>
              <w:t>Period covered by report</w:t>
            </w:r>
          </w:p>
        </w:tc>
        <w:tc>
          <w:tcPr>
            <w:tcW w:w="553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480"/>
              <w:rPr>
                <w:sz w:val="20"/>
                <w:szCs w:val="20"/>
              </w:rPr>
            </w:pPr>
            <w:r>
              <w:rPr>
                <w:sz w:val="20"/>
                <w:szCs w:val="20"/>
              </w:rPr>
            </w:r>
          </w:p>
          <w:p>
            <w:pPr>
              <w:pStyle w:val="Normal"/>
              <w:widowControl w:val="false"/>
              <w:snapToGrid w:val="false"/>
              <w:spacing w:lineRule="auto" w:line="480"/>
              <w:rPr>
                <w:sz w:val="20"/>
                <w:szCs w:val="20"/>
              </w:rPr>
            </w:pPr>
            <w:r>
              <w:rPr>
                <w:sz w:val="20"/>
                <w:szCs w:val="20"/>
              </w:rPr>
              <w:t>September 1st 2022 - September 1st 2023</w:t>
            </w:r>
          </w:p>
        </w:tc>
      </w:tr>
    </w:tbl>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p>
      <w:pPr>
        <w:pStyle w:val="Normal"/>
        <w:widowControl/>
        <w:suppressAutoHyphens w:val="false"/>
        <w:rPr>
          <w:rFonts w:ascii="Calibri" w:hAnsi="Calibri" w:cs="Calibri" w:asciiTheme="minorHAnsi" w:cstheme="minorHAnsi" w:hAnsiTheme="minorHAnsi"/>
          <w:sz w:val="20"/>
          <w:szCs w:val="20"/>
        </w:rPr>
      </w:pPr>
      <w:r>
        <w:rPr>
          <w:rFonts w:cs="Calibri" w:cstheme="minorHAnsi" w:ascii="Calibri" w:hAnsi="Calibri"/>
          <w:sz w:val="20"/>
          <w:szCs w:val="20"/>
        </w:rPr>
      </w:r>
      <w:r>
        <w:br w:type="page"/>
      </w:r>
    </w:p>
    <w:p>
      <w:pPr>
        <w:pStyle w:val="Normal"/>
        <w:rPr>
          <w:rFonts w:ascii="Calibri" w:hAnsi="Calibri" w:cs="Calibri" w:asciiTheme="minorHAnsi" w:cstheme="minorHAnsi" w:hAnsiTheme="minorHAnsi"/>
          <w:sz w:val="20"/>
          <w:szCs w:val="20"/>
        </w:rPr>
      </w:pPr>
      <w:r>
        <w:rPr>
          <w:rFonts w:cs="Calibri" w:cstheme="minorHAnsi" w:ascii="Calibri" w:hAnsi="Calibri"/>
          <w:sz w:val="20"/>
          <w:szCs w:val="20"/>
        </w:rPr>
      </w:r>
    </w:p>
    <w:tbl>
      <w:tblPr>
        <w:tblStyle w:val="TableGrid"/>
        <w:tblW w:w="8789"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8789"/>
      </w:tblGrid>
      <w:tr>
        <w:trPr/>
        <w:tc>
          <w:tcPr>
            <w:tcW w:w="8789" w:type="dxa"/>
            <w:tcBorders/>
          </w:tcPr>
          <w:p>
            <w:pPr>
              <w:pStyle w:val="Normal"/>
              <w:widowControl w:val="false"/>
              <w:spacing w:before="0" w:after="0"/>
              <w:jc w:val="left"/>
              <w:rPr>
                <w:rFonts w:ascii="Calibri" w:hAnsi="Calibri" w:cs="Calibri" w:asciiTheme="minorHAnsi" w:cstheme="minorHAnsi" w:hAnsiTheme="minorHAnsi"/>
                <w:b/>
                <w:b/>
                <w:kern w:val="2"/>
              </w:rPr>
            </w:pPr>
            <w:r>
              <w:rPr>
                <w:rFonts w:cs="Calibri" w:ascii="Calibri" w:hAnsi="Calibri" w:asciiTheme="minorHAnsi" w:cstheme="minorHAnsi" w:hAnsiTheme="minorHAnsi"/>
                <w:b/>
                <w:kern w:val="2"/>
                <w:lang w:eastAsia="en-IE" w:bidi="ar-SA"/>
              </w:rPr>
              <w:t>Description of work completed during this period:</w:t>
            </w:r>
          </w:p>
          <w:p>
            <w:pPr>
              <w:pStyle w:val="Normal"/>
              <w:widowControl w:val="false"/>
              <w:spacing w:before="0" w:after="0"/>
              <w:jc w:val="left"/>
              <w:rPr>
                <w:rFonts w:ascii="Calibri" w:hAnsi="Calibri" w:cs="Calibri" w:asciiTheme="minorHAnsi" w:cstheme="minorHAnsi" w:hAnsiTheme="minorHAnsi"/>
                <w:b/>
                <w:b/>
                <w:kern w:val="2"/>
              </w:rPr>
            </w:pPr>
            <w:r>
              <w:rPr>
                <w:rFonts w:cs="Calibri" w:cstheme="minorHAnsi" w:ascii="Calibri" w:hAnsi="Calibri"/>
                <w:b/>
              </w:rPr>
            </w:r>
          </w:p>
          <w:p>
            <w:pPr>
              <w:pStyle w:val="Normal"/>
              <w:widowControl w:val="false"/>
              <w:spacing w:lineRule="auto" w:line="276" w:before="0" w:after="0"/>
              <w:rPr>
                <w:rFonts w:ascii="Cal" w:hAnsi="Cal"/>
                <w:b/>
                <w:b/>
                <w:bCs/>
              </w:rPr>
            </w:pPr>
            <w:r>
              <w:rPr>
                <w:rFonts w:ascii="Cal" w:hAnsi="Cal"/>
                <w:b/>
                <w:bCs/>
                <w:lang w:val="en-US"/>
              </w:rPr>
              <w:t>Background:</w:t>
            </w:r>
          </w:p>
          <w:p>
            <w:pPr>
              <w:pStyle w:val="Normal"/>
              <w:widowControl w:val="false"/>
              <w:spacing w:lineRule="auto" w:line="276" w:before="0" w:after="0"/>
              <w:ind w:left="340" w:right="283" w:hanging="0"/>
              <w:jc w:val="both"/>
              <w:rPr>
                <w:rFonts w:ascii="Cal" w:hAnsi="Cal" w:cs="Calibri" w:cstheme="minorHAnsi"/>
                <w:b w:val="false"/>
                <w:b w:val="false"/>
                <w:bCs w:val="false"/>
              </w:rPr>
            </w:pPr>
            <w:r>
              <w:rPr>
                <w:rFonts w:cs="Calibri" w:cstheme="minorHAnsi" w:ascii="Cal" w:hAnsi="Cal"/>
                <w:b w:val="false"/>
                <w:bCs w:val="false"/>
                <w:lang w:val="en-US"/>
              </w:rPr>
              <w:t>Progressive muscle wasting is a natural consequence of aging (sarcopenia) and an important consequence of illness. The number of people affected by sarcopenia is predicted to reach 18 mln in Europe by 2045 [1]. This number will increase substantially in the light of the COVID-19 pandemic; over 50% hospitalised COVID-19 patients display significantly reduced muscle function [2] . Muscle loss is therefore becoming a health care priority. This project aligns with SFI strategic priorities and is in the area of muscle wasting during aging and disease. Both aging and critical illness lead to frailty and eventually increased morbidity and mortality. There is no cure for muscle loss. Target identification and validation is a pressing challenge, with many targets failing for efficacy reasons or showing poor association with the disease. Computational prediction of therapeutic targets could significantly decrease the attrition rates in the drug discovery pipeline by significantly reducing the initial search phase. microRNAs (miRs) are robust gene expression regulators which have been demonstrated to play key roles in regulating muscle homeostasis [3]. Multi-omics analyses on the muscle samples from adult and older humans and critically ill patients, which included proxemics, transcriptomics (including splicing) and small RNA-Seq (bionomics) have been previously performed by us and others. This project will use these data to generate a model of common epigenetic mechanisms regulating changes in muscle atrophy during aging and disease with the focus on microRNAs. The changes in human muscle will be compared with changes from in vitro and in vivo models to allow for future target(s) validation. This computational model will be next used to predict novel therapeutic targets: miRs, for muscle wasting in aging and disease.</w:t>
            </w:r>
          </w:p>
          <w:p>
            <w:pPr>
              <w:pStyle w:val="Normal"/>
              <w:widowControl w:val="false"/>
              <w:spacing w:before="0" w:after="0"/>
              <w:jc w:val="left"/>
              <w:rPr>
                <w:rFonts w:ascii="Calibri" w:hAnsi="Calibri" w:cs="Calibri" w:asciiTheme="minorHAnsi" w:cstheme="minorHAnsi" w:hAnsiTheme="minorHAnsi"/>
                <w:b/>
                <w:b/>
              </w:rPr>
            </w:pPr>
            <w:r>
              <w:rPr>
                <w:rFonts w:cs="Calibri" w:cstheme="minorHAnsi" w:ascii="Calibri" w:hAnsi="Calibri"/>
                <w:b/>
              </w:rPr>
            </w:r>
          </w:p>
          <w:p>
            <w:pPr>
              <w:pStyle w:val="Normal"/>
              <w:widowControl w:val="false"/>
              <w:spacing w:lineRule="auto" w:line="240" w:before="0" w:after="0"/>
              <w:rPr>
                <w:b w:val="false"/>
                <w:b w:val="false"/>
                <w:bCs w:val="false"/>
              </w:rPr>
            </w:pPr>
            <w:r>
              <w:rPr>
                <w:rFonts w:ascii="Cal" w:hAnsi="Cal"/>
                <w:b/>
                <w:bCs/>
                <w:lang w:val="en-US"/>
              </w:rPr>
              <w:t>Objectives of the Project</w:t>
            </w:r>
          </w:p>
          <w:p>
            <w:pPr>
              <w:pStyle w:val="Normal"/>
              <w:widowControl w:val="false"/>
              <w:spacing w:lineRule="auto" w:line="276" w:before="0" w:after="0"/>
              <w:ind w:left="283" w:right="283" w:hanging="0"/>
              <w:jc w:val="both"/>
              <w:rPr>
                <w:rFonts w:ascii="Cal" w:hAnsi="Cal"/>
                <w:b w:val="false"/>
                <w:b w:val="false"/>
                <w:bCs w:val="false"/>
              </w:rPr>
            </w:pPr>
            <w:r>
              <w:rPr>
                <w:rFonts w:ascii="Cal" w:hAnsi="Cal"/>
                <w:b w:val="false"/>
                <w:bCs w:val="false"/>
                <w:lang w:val="en-US"/>
              </w:rPr>
              <w:t>The main objectives of this project include:</w:t>
            </w:r>
          </w:p>
          <w:p>
            <w:pPr>
              <w:pStyle w:val="Normal"/>
              <w:widowControl w:val="false"/>
              <w:spacing w:lineRule="auto" w:line="276" w:before="0" w:after="0"/>
              <w:ind w:left="283" w:right="283" w:hanging="0"/>
              <w:jc w:val="both"/>
              <w:rPr>
                <w:rFonts w:ascii="Cal" w:hAnsi="Cal"/>
                <w:b w:val="false"/>
                <w:b w:val="false"/>
                <w:bCs w:val="false"/>
              </w:rPr>
            </w:pPr>
            <w:r>
              <w:rPr>
                <w:rFonts w:ascii="Cal" w:hAnsi="Cal"/>
                <w:b w:val="false"/>
                <w:bCs w:val="false"/>
                <w:lang w:val="en-US"/>
              </w:rPr>
              <w:t>1. Create independent models and a common model of miR:target interactions in muscle loss during aging and critical illness based on differentially expressed (DE) miRs and genes.</w:t>
            </w:r>
          </w:p>
          <w:p>
            <w:pPr>
              <w:pStyle w:val="Normal"/>
              <w:widowControl w:val="false"/>
              <w:spacing w:lineRule="auto" w:line="276" w:before="0" w:after="0"/>
              <w:ind w:left="283" w:right="283" w:hanging="0"/>
              <w:jc w:val="both"/>
              <w:rPr>
                <w:rFonts w:ascii="Cal" w:hAnsi="Cal"/>
                <w:b w:val="false"/>
                <w:b w:val="false"/>
                <w:bCs w:val="false"/>
              </w:rPr>
            </w:pPr>
            <w:r>
              <w:rPr>
                <w:rFonts w:ascii="Cal" w:hAnsi="Cal"/>
                <w:b w:val="false"/>
                <w:bCs w:val="false"/>
                <w:lang w:val="en-US"/>
              </w:rPr>
              <w:t>2. Fine-tune the model(s) based on conserved changes between humans and in vitro and in vivo models. This objective will include our existing and analysed RNA-Seq, small RNA-Seq and proteomics datasets from human primary myoblasts and mice, as well as published data.</w:t>
            </w:r>
          </w:p>
          <w:p>
            <w:pPr>
              <w:pStyle w:val="Normal"/>
              <w:widowControl w:val="false"/>
              <w:spacing w:lineRule="auto" w:line="276" w:before="0" w:after="0"/>
              <w:ind w:left="283" w:right="283" w:hanging="0"/>
              <w:jc w:val="both"/>
              <w:rPr>
                <w:rFonts w:ascii="Cal" w:hAnsi="Cal"/>
                <w:b w:val="false"/>
                <w:b w:val="false"/>
                <w:bCs w:val="false"/>
              </w:rPr>
            </w:pPr>
            <w:r>
              <w:rPr>
                <w:rFonts w:ascii="Cal" w:hAnsi="Cal"/>
                <w:b w:val="false"/>
                <w:bCs w:val="false"/>
                <w:lang w:val="en-US"/>
              </w:rPr>
              <w:t>3. Test the model(s) for new therapeutic targets for muscle loss by in silico simulation in selected miR(s) affected by aging and critical illness to determine potential therapeutic targets. Overexpression/inhibiton of selected miR(s) will be simulated to determine the effects on expression of genes associated with muscle hypertrophy, atrophy and regeneration pathways.</w:t>
            </w:r>
          </w:p>
          <w:p>
            <w:pPr>
              <w:pStyle w:val="Normal"/>
              <w:widowControl w:val="false"/>
              <w:spacing w:lineRule="auto" w:line="276" w:before="0" w:after="0"/>
              <w:ind w:left="283" w:right="283" w:hanging="0"/>
              <w:jc w:val="both"/>
              <w:rPr>
                <w:rFonts w:ascii="Cal" w:hAnsi="Cal"/>
                <w:b w:val="false"/>
                <w:b w:val="false"/>
                <w:bCs w:val="false"/>
              </w:rPr>
            </w:pPr>
            <w:r>
              <w:rPr>
                <w:rFonts w:ascii="Cal" w:hAnsi="Cal"/>
                <w:b w:val="false"/>
                <w:bCs w:val="false"/>
                <w:lang w:val="en-US"/>
              </w:rPr>
              <w:t>4. Test the selected therapeutic target in an in vitro model of muscle loss through overexpression and inhibition of a selected miR predicted to regulate muscle loss in aging and disease.</w:t>
            </w:r>
          </w:p>
          <w:p>
            <w:pPr>
              <w:pStyle w:val="Normal"/>
              <w:widowControl w:val="false"/>
              <w:spacing w:lineRule="auto" w:line="276" w:before="0" w:after="0"/>
              <w:ind w:left="283" w:right="283" w:hanging="0"/>
              <w:jc w:val="both"/>
              <w:rPr>
                <w:rFonts w:ascii="Cal" w:hAnsi="Cal" w:cs="Calibri" w:cstheme="minorHAnsi"/>
                <w:b w:val="false"/>
                <w:b w:val="false"/>
                <w:bCs w:val="false"/>
              </w:rPr>
            </w:pPr>
            <w:r>
              <w:rPr>
                <w:rFonts w:cs="Calibri" w:cstheme="minorHAnsi" w:ascii="Cal" w:hAnsi="Cal"/>
                <w:b w:val="false"/>
                <w:bCs w:val="false"/>
                <w:lang w:val="en-US"/>
              </w:rPr>
              <w:t>Significance. Steady-state mRNA levels measured in transcriptomic studies provide important information on the modulation of cellular phenotype under different conditions, however there is often a discord between mRNA and protein abundance. Often these studies fail to fully inform us about the dynamic post-transcriptional control of mRNA turnover and translation This project will be advantageous to ongoing studies using animal models and will reduce the number of animals used. Moreover, the large-scale analyses will comprehensively investigate the common changes in muscle aging and disease. Ultimately, these targets can be tested in vitro and in vivo for further therapeutic development. The focus on a global population of muscle atrophy (sarcopenia) and critical illness provides an opportunity for a significant impact in our aging population.</w:t>
            </w:r>
          </w:p>
          <w:p>
            <w:pPr>
              <w:pStyle w:val="Normal"/>
              <w:widowControl w:val="false"/>
              <w:spacing w:lineRule="auto" w:line="276" w:before="0" w:after="0"/>
              <w:ind w:left="283" w:right="283" w:hanging="0"/>
              <w:jc w:val="both"/>
              <w:rPr>
                <w:rFonts w:ascii="Calibri" w:hAnsi="Calibri" w:cs="Calibri" w:asciiTheme="minorHAnsi" w:cstheme="minorHAnsi" w:hAnsiTheme="minorHAnsi"/>
                <w:b/>
                <w:b/>
              </w:rPr>
            </w:pPr>
            <w:r>
              <w:rPr>
                <w:rFonts w:cs="Calibri" w:cstheme="minorHAnsi" w:ascii="Calibri" w:hAnsi="Calibri"/>
                <w:b/>
              </w:rPr>
            </w:r>
          </w:p>
          <w:p>
            <w:pPr>
              <w:pStyle w:val="Normal"/>
              <w:widowControl w:val="false"/>
              <w:spacing w:before="0" w:after="0"/>
              <w:jc w:val="left"/>
              <w:rPr>
                <w:rFonts w:ascii="Cal" w:hAnsi="Cal" w:cs="Calibri" w:cstheme="minorHAnsi"/>
                <w:b/>
                <w:b/>
                <w:sz w:val="24"/>
                <w:szCs w:val="24"/>
              </w:rPr>
            </w:pPr>
            <w:r>
              <w:rPr>
                <w:rFonts w:cs="Calibri" w:cstheme="minorHAnsi" w:ascii="Cal" w:hAnsi="Cal"/>
                <w:b/>
                <w:sz w:val="24"/>
                <w:szCs w:val="24"/>
              </w:rPr>
              <w:t>Compleated work:</w:t>
            </w:r>
          </w:p>
          <w:p>
            <w:pPr>
              <w:pStyle w:val="Normal"/>
              <w:widowControl w:val="false"/>
              <w:spacing w:before="0" w:after="0"/>
              <w:jc w:val="left"/>
              <w:rPr>
                <w:rFonts w:ascii="Cal" w:hAnsi="Cal" w:cs="Calibri" w:cstheme="minorHAnsi"/>
                <w:b/>
                <w:b/>
                <w:sz w:val="24"/>
                <w:szCs w:val="24"/>
              </w:rPr>
            </w:pPr>
            <w:r>
              <w:rPr>
                <w:rFonts w:cs="Calibri" w:cstheme="minorHAnsi" w:ascii="Cal" w:hAnsi="Cal"/>
                <w:b/>
                <w:sz w:val="24"/>
                <w:szCs w:val="24"/>
              </w:rPr>
            </w:r>
          </w:p>
          <w:p>
            <w:pPr>
              <w:pStyle w:val="Normal"/>
              <w:widowControl w:val="false"/>
              <w:spacing w:lineRule="auto" w:line="240" w:before="0" w:after="0"/>
              <w:jc w:val="both"/>
              <w:rPr>
                <w:rFonts w:ascii="Cal" w:hAnsi="Cal"/>
                <w:sz w:val="24"/>
                <w:szCs w:val="24"/>
              </w:rPr>
            </w:pPr>
            <w:r>
              <w:rPr>
                <w:rFonts w:ascii="Cal" w:hAnsi="Cal"/>
                <w:sz w:val="24"/>
                <w:szCs w:val="24"/>
                <w:lang w:val="en-US"/>
              </w:rPr>
              <w:t xml:space="preserve">Differential Expression </w:t>
            </w:r>
          </w:p>
          <w:p>
            <w:pPr>
              <w:pStyle w:val="Normal"/>
              <w:widowControl w:val="false"/>
              <w:spacing w:lineRule="auto" w:line="240" w:before="0" w:after="0"/>
              <w:jc w:val="both"/>
              <w:rPr>
                <w:rFonts w:ascii="Cal" w:hAnsi="Cal"/>
                <w:sz w:val="24"/>
                <w:szCs w:val="24"/>
              </w:rPr>
            </w:pPr>
            <w:r>
              <w:rPr>
                <w:rFonts w:ascii="Cal" w:hAnsi="Cal"/>
                <w:sz w:val="24"/>
                <w:szCs w:val="24"/>
              </w:rPr>
            </w:r>
          </w:p>
          <w:p>
            <w:pPr>
              <w:pStyle w:val="Normal"/>
              <w:widowControl w:val="false"/>
              <w:spacing w:lineRule="auto" w:line="240" w:before="0" w:after="0"/>
              <w:jc w:val="both"/>
              <w:rPr>
                <w:rFonts w:ascii="Cal" w:hAnsi="Cal"/>
                <w:sz w:val="24"/>
                <w:szCs w:val="24"/>
              </w:rPr>
            </w:pPr>
            <w:r>
              <w:rPr>
                <w:rFonts w:ascii="Cal" w:hAnsi="Cal"/>
                <w:sz w:val="24"/>
                <w:szCs w:val="24"/>
                <w:lang w:val="en-US"/>
              </w:rPr>
              <w:t>From RNAseq and microarray data from five studies, with a total of 246 samples of skeletal muscle from healthy participants with ages ranging from 19 to 85 years old, we obtained differentially expressed genes from groups of young, middle age and older adults. 251 genes were identified, 125 that increase with age and 126 that decrease with age.</w:t>
            </w:r>
          </w:p>
          <w:p>
            <w:pPr>
              <w:pStyle w:val="Normal"/>
              <w:widowControl w:val="false"/>
              <w:spacing w:lineRule="auto" w:line="240" w:before="0" w:after="0"/>
              <w:jc w:val="both"/>
              <w:rPr>
                <w:rFonts w:ascii="Cal" w:hAnsi="Cal"/>
                <w:sz w:val="24"/>
                <w:szCs w:val="24"/>
              </w:rPr>
            </w:pPr>
            <w:r>
              <w:rPr>
                <w:rFonts w:ascii="Cal" w:hAnsi="Cal"/>
                <w:sz w:val="24"/>
                <w:szCs w:val="24"/>
                <w:lang w:val="en-US"/>
              </w:rPr>
              <w:t xml:space="preserve">We separated them into 6 subsets: young vs old, young vs middle age, middle age vs old, and for each of them, up and down-regulated. </w:t>
            </w:r>
          </w:p>
          <w:p>
            <w:pPr>
              <w:pStyle w:val="Normal"/>
              <w:widowControl w:val="false"/>
              <w:spacing w:lineRule="auto" w:line="240" w:before="0" w:after="0"/>
              <w:jc w:val="both"/>
              <w:rPr>
                <w:rFonts w:ascii="Cal" w:hAnsi="Cal"/>
                <w:sz w:val="24"/>
                <w:szCs w:val="24"/>
              </w:rPr>
            </w:pPr>
            <w:r>
              <w:rPr>
                <w:rFonts w:ascii="Cal" w:hAnsi="Cal"/>
                <w:sz w:val="24"/>
                <w:szCs w:val="24"/>
              </w:rPr>
            </w:r>
          </w:p>
          <w:p>
            <w:pPr>
              <w:pStyle w:val="Normal"/>
              <w:widowControl w:val="false"/>
              <w:spacing w:lineRule="auto" w:line="240" w:before="0" w:after="0"/>
              <w:jc w:val="both"/>
              <w:rPr>
                <w:rFonts w:ascii="Cal" w:hAnsi="Cal"/>
                <w:sz w:val="24"/>
                <w:szCs w:val="24"/>
              </w:rPr>
            </w:pPr>
            <w:r>
              <w:rPr>
                <w:rFonts w:ascii="Cal" w:hAnsi="Cal"/>
                <w:sz w:val="24"/>
                <w:szCs w:val="24"/>
              </w:rPr>
            </w:r>
          </w:p>
          <w:p>
            <w:pPr>
              <w:pStyle w:val="Normal"/>
              <w:widowControl w:val="false"/>
              <w:spacing w:lineRule="auto" w:line="240" w:before="0" w:after="0"/>
              <w:jc w:val="both"/>
              <w:rPr>
                <w:rFonts w:ascii="Cal" w:hAnsi="Cal"/>
                <w:sz w:val="24"/>
                <w:szCs w:val="24"/>
              </w:rPr>
            </w:pPr>
            <w:r>
              <w:rPr>
                <w:rFonts w:ascii="Cal" w:hAnsi="Cal"/>
                <w:sz w:val="24"/>
                <w:szCs w:val="24"/>
                <w:lang w:val="en-US"/>
              </w:rPr>
              <w:t>Software development</w:t>
            </w:r>
          </w:p>
          <w:p>
            <w:pPr>
              <w:pStyle w:val="Normal"/>
              <w:widowControl w:val="false"/>
              <w:spacing w:lineRule="auto" w:line="240" w:before="0" w:after="0"/>
              <w:jc w:val="both"/>
              <w:rPr>
                <w:rFonts w:ascii="Cal" w:hAnsi="Cal"/>
                <w:sz w:val="24"/>
                <w:szCs w:val="24"/>
              </w:rPr>
            </w:pPr>
            <w:r>
              <w:rPr>
                <w:rFonts w:ascii="Cal" w:hAnsi="Cal"/>
                <w:sz w:val="24"/>
                <w:szCs w:val="24"/>
              </w:rPr>
            </w:r>
          </w:p>
          <w:p>
            <w:pPr>
              <w:pStyle w:val="Normal"/>
              <w:widowControl w:val="false"/>
              <w:spacing w:lineRule="auto" w:line="240" w:before="0" w:after="0"/>
              <w:jc w:val="both"/>
              <w:rPr>
                <w:rFonts w:ascii="Cal" w:hAnsi="Cal"/>
                <w:sz w:val="24"/>
                <w:szCs w:val="24"/>
              </w:rPr>
            </w:pPr>
            <w:r>
              <w:rPr>
                <w:rFonts w:ascii="Cal" w:hAnsi="Cal"/>
                <w:sz w:val="24"/>
                <w:szCs w:val="24"/>
                <w:lang w:val="en-US"/>
              </w:rPr>
              <w:t>Using Python language, we develop a program that takes JSON formatted networks, adds the microRNAs from miRTarbase, miRDB, and TargetScan, and filters the result based on closeness and PageRank centralities. We had called this program miRKat. And incorporating existing code to evaluate the networks based on random walk with restart.</w:t>
            </w:r>
          </w:p>
          <w:p>
            <w:pPr>
              <w:pStyle w:val="Normal"/>
              <w:widowControl w:val="false"/>
              <w:spacing w:lineRule="auto" w:line="240" w:before="0" w:after="0"/>
              <w:jc w:val="both"/>
              <w:rPr>
                <w:rFonts w:ascii="Cal" w:hAnsi="Cal"/>
                <w:sz w:val="24"/>
                <w:szCs w:val="24"/>
              </w:rPr>
            </w:pPr>
            <w:r>
              <w:rPr>
                <w:rFonts w:ascii="Cal" w:hAnsi="Cal"/>
                <w:sz w:val="24"/>
                <w:szCs w:val="24"/>
              </w:rPr>
            </w:r>
          </w:p>
          <w:p>
            <w:pPr>
              <w:pStyle w:val="Normal"/>
              <w:widowControl w:val="false"/>
              <w:spacing w:lineRule="auto" w:line="240" w:before="0" w:after="0"/>
              <w:jc w:val="both"/>
              <w:rPr>
                <w:rFonts w:ascii="Cal" w:hAnsi="Cal"/>
                <w:sz w:val="24"/>
                <w:szCs w:val="24"/>
              </w:rPr>
            </w:pPr>
            <w:r>
              <w:rPr>
                <w:rFonts w:ascii="Cal" w:hAnsi="Cal"/>
                <w:sz w:val="24"/>
                <w:szCs w:val="24"/>
              </w:rPr>
            </w:r>
          </w:p>
          <w:p>
            <w:pPr>
              <w:pStyle w:val="Normal"/>
              <w:widowControl w:val="false"/>
              <w:spacing w:lineRule="auto" w:line="240" w:before="0" w:after="0"/>
              <w:jc w:val="both"/>
              <w:rPr>
                <w:rFonts w:ascii="Cal" w:hAnsi="Cal"/>
                <w:sz w:val="24"/>
                <w:szCs w:val="24"/>
              </w:rPr>
            </w:pPr>
            <w:r>
              <w:rPr>
                <w:rFonts w:ascii="Cal" w:hAnsi="Cal"/>
                <w:sz w:val="24"/>
                <w:szCs w:val="24"/>
                <w:lang w:val="en-US"/>
              </w:rPr>
              <w:t>Network creation</w:t>
            </w:r>
          </w:p>
          <w:p>
            <w:pPr>
              <w:pStyle w:val="Normal"/>
              <w:widowControl w:val="false"/>
              <w:spacing w:lineRule="auto" w:line="240" w:before="0" w:after="0"/>
              <w:jc w:val="both"/>
              <w:rPr>
                <w:rFonts w:ascii="Cal" w:hAnsi="Cal"/>
                <w:sz w:val="24"/>
                <w:szCs w:val="24"/>
              </w:rPr>
            </w:pPr>
            <w:r>
              <w:rPr>
                <w:rFonts w:ascii="Cal" w:hAnsi="Cal"/>
                <w:sz w:val="24"/>
                <w:szCs w:val="24"/>
              </w:rPr>
            </w:r>
          </w:p>
          <w:p>
            <w:pPr>
              <w:pStyle w:val="Normal"/>
              <w:widowControl w:val="false"/>
              <w:spacing w:lineRule="auto" w:line="240" w:before="0" w:after="0"/>
              <w:jc w:val="both"/>
              <w:rPr>
                <w:rFonts w:ascii="Cal" w:hAnsi="Cal"/>
                <w:sz w:val="24"/>
                <w:szCs w:val="24"/>
              </w:rPr>
            </w:pPr>
            <w:r>
              <w:rPr>
                <w:rFonts w:ascii="Cal" w:hAnsi="Cal"/>
                <w:sz w:val="24"/>
                <w:szCs w:val="24"/>
                <w:lang w:val="en-US"/>
              </w:rPr>
              <w:t>From the selected genes, we include the protein-protein interactions with IntAct and a combination of co-expression, protein-protein interactions, literature, and others from Genemania. This network was subjected to the in-home program and the evaluation.</w:t>
            </w:r>
          </w:p>
          <w:p>
            <w:pPr>
              <w:pStyle w:val="Normal"/>
              <w:widowControl w:val="false"/>
              <w:spacing w:lineRule="auto" w:line="240" w:before="0" w:after="0"/>
              <w:jc w:val="both"/>
              <w:rPr>
                <w:rFonts w:ascii="Cal" w:hAnsi="Cal"/>
                <w:sz w:val="24"/>
                <w:szCs w:val="24"/>
              </w:rPr>
            </w:pPr>
            <w:r>
              <w:rPr>
                <w:rFonts w:ascii="Cal" w:hAnsi="Cal"/>
                <w:sz w:val="24"/>
                <w:szCs w:val="24"/>
                <w:lang w:val="en-US"/>
              </w:rPr>
              <w:t>The was one network generated by each subset of genes, and from there, from  using IntAct and closeness centrality, we got a total of 30 microRNA, 23 detected in Young vs Old, 3 in Young vs Middle Age, and 6 in Middle Age vs All. The selection of this preliminary list was obtained getting the top 5% centrality nodes, however, further analysis needs to be done in order to declare any of these microRNAs as part of the shortlisted.</w:t>
            </w:r>
          </w:p>
          <w:p>
            <w:pPr>
              <w:pStyle w:val="Normal"/>
              <w:widowControl w:val="false"/>
              <w:spacing w:lineRule="auto" w:line="240" w:before="0" w:after="0"/>
              <w:jc w:val="both"/>
              <w:rPr>
                <w:rFonts w:ascii="Cal" w:hAnsi="Cal"/>
                <w:sz w:val="24"/>
                <w:szCs w:val="24"/>
              </w:rPr>
            </w:pPr>
            <w:r>
              <w:rPr>
                <w:rFonts w:ascii="Cal" w:hAnsi="Cal"/>
                <w:sz w:val="24"/>
                <w:szCs w:val="24"/>
              </w:rPr>
            </w:r>
          </w:p>
          <w:p>
            <w:pPr>
              <w:pStyle w:val="Normal"/>
              <w:widowControl w:val="false"/>
              <w:spacing w:lineRule="auto" w:line="240" w:before="0" w:after="0"/>
              <w:jc w:val="both"/>
              <w:rPr>
                <w:rFonts w:ascii="Cal" w:hAnsi="Cal"/>
                <w:sz w:val="24"/>
                <w:szCs w:val="24"/>
              </w:rPr>
            </w:pPr>
            <w:r>
              <w:rPr>
                <w:rFonts w:ascii="Cal" w:hAnsi="Cal"/>
                <w:sz w:val="24"/>
                <w:szCs w:val="24"/>
                <w:lang w:val="en-US"/>
              </w:rPr>
              <w:t>Database</w:t>
            </w:r>
          </w:p>
          <w:p>
            <w:pPr>
              <w:pStyle w:val="Normal"/>
              <w:widowControl w:val="false"/>
              <w:spacing w:lineRule="auto" w:line="240" w:before="0" w:after="0"/>
              <w:jc w:val="both"/>
              <w:rPr>
                <w:rFonts w:ascii="Cal" w:hAnsi="Cal"/>
                <w:b w:val="false"/>
                <w:b w:val="false"/>
                <w:bCs w:val="false"/>
                <w:sz w:val="24"/>
                <w:szCs w:val="24"/>
              </w:rPr>
            </w:pPr>
            <w:r>
              <w:rPr>
                <w:rFonts w:ascii="Cal" w:hAnsi="Cal"/>
                <w:b w:val="false"/>
                <w:bCs w:val="false"/>
                <w:sz w:val="24"/>
                <w:szCs w:val="24"/>
              </w:rPr>
            </w:r>
          </w:p>
          <w:p>
            <w:pPr>
              <w:pStyle w:val="Normal"/>
              <w:widowControl w:val="false"/>
              <w:spacing w:lineRule="auto" w:line="240" w:before="0" w:after="0"/>
              <w:jc w:val="both"/>
              <w:rPr>
                <w:rFonts w:ascii="Cal" w:hAnsi="Cal" w:cs="Calibri" w:cstheme="minorHAnsi"/>
                <w:b w:val="false"/>
                <w:b w:val="false"/>
                <w:bCs w:val="false"/>
                <w:sz w:val="24"/>
                <w:szCs w:val="24"/>
              </w:rPr>
            </w:pPr>
            <w:r>
              <w:rPr>
                <w:rFonts w:cs="Calibri" w:cstheme="minorHAnsi" w:ascii="Cal" w:hAnsi="Cal"/>
                <w:b w:val="false"/>
                <w:bCs w:val="false"/>
                <w:sz w:val="24"/>
                <w:szCs w:val="24"/>
                <w:lang w:val="en-US"/>
              </w:rPr>
              <w:t xml:space="preserve">In the previous review, we showed the first glance, the development of a database that includes the microRNA data and their targets. I had successfully included more targets, add the functionality of seeds and will keep working on adding the tissue expression. This work includes the curation of the data, formatting, and parsing to be included. </w:t>
            </w:r>
          </w:p>
          <w:p>
            <w:pPr>
              <w:pStyle w:val="Normal"/>
              <w:widowControl w:val="false"/>
              <w:spacing w:before="0" w:after="0"/>
              <w:jc w:val="left"/>
              <w:rPr>
                <w:rFonts w:ascii="Cal" w:hAnsi="Cal" w:cs="Calibri" w:cstheme="minorHAnsi"/>
                <w:b/>
                <w:b/>
              </w:rPr>
            </w:pPr>
            <w:r>
              <w:rPr>
                <w:rFonts w:cs="Calibri" w:cstheme="minorHAnsi" w:ascii="Cal" w:hAnsi="Cal"/>
                <w:b/>
              </w:rPr>
            </w:r>
          </w:p>
          <w:p>
            <w:pPr>
              <w:pStyle w:val="Normal"/>
              <w:widowControl w:val="false"/>
              <w:spacing w:before="0" w:after="0"/>
              <w:jc w:val="left"/>
              <w:rPr>
                <w:rFonts w:ascii="Cal" w:hAnsi="Cal" w:cs="Calibri" w:cstheme="minorHAnsi"/>
                <w:b/>
                <w:b/>
              </w:rPr>
            </w:pPr>
            <w:r>
              <w:rPr>
                <w:rFonts w:cs="Calibri" w:cstheme="minorHAnsi" w:ascii="Cal" w:hAnsi="Cal"/>
                <w:b/>
              </w:rPr>
            </w:r>
          </w:p>
          <w:p>
            <w:pPr>
              <w:pStyle w:val="Normal"/>
              <w:widowControl w:val="false"/>
              <w:spacing w:before="0" w:after="0"/>
              <w:jc w:val="left"/>
              <w:rPr>
                <w:rFonts w:ascii="Cal" w:hAnsi="Cal" w:cs="Calibri" w:cstheme="minorHAnsi"/>
                <w:b/>
                <w:b/>
              </w:rPr>
            </w:pPr>
            <w:r>
              <w:rPr>
                <w:rFonts w:cs="Calibri" w:cstheme="minorHAnsi" w:ascii="Cal" w:hAnsi="Cal"/>
                <w:b/>
              </w:rPr>
              <w:t>Discussion</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 xml:space="preserve">Differential Expression </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 xml:space="preserve">The experiments where the genes were extracted are incomparable among each other, finding common genes. For example, when we evaluate Young vs Old and Middle age vs Old, we encountered 8 genes in common. The probability of this happening is around 0.004% (calculated with a quick hypergeometric test), however, more tests are needed to calculate the probability of obtaining the observed overlap between two groups by chance in each group. </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However, having the same genes appearing as differentially expressed in multiple experiments can add value to the overall analysis. It indicates that these genes may be more biologically relevant and potentially important in the context of the tissue and experimental conditions being studied.</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Software development</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miRKat seems potential to be a key tool in the selection of genes and microRNAs given the initial set. However, more tests are needed to ensure the quality of the microRNAs, this is, that the selected microRNAs are relevant to muscle biology and indeed are the most relevant within the network.</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In terms of the code itself, a test suite is integrated to ensure the code works as expected. As miRKat grows in complexity, this suit gets more value.</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 xml:space="preserve">We are still left to integrate the tissue presence and the type of interactions alongside Transcription Factor data. </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 xml:space="preserve">Finally, the scoring of the selected nodes does not discriminate among original differentially expressed genes, genes with their interactions, or microRNAs, it could improve the selection if we consider these elements in the selection of the genes and miRNAs. </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Network creation</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Until now, we have two ways to extend from the original differentially expressed genes; IntAct and GeneMania. The first uses protein-protein interactions and the second a combination of 5 parameters. The first approach gives more relevant microRNAs than the second, it is contemplated that the amount of extra information acts like noise for the model.</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More work is necessary to compare the resulting microRNAs from the different genes subsets (young vs old, young vs middle age, middle age vs old, and for each of them, up and down-regulated)</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Database</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 xml:space="preserve">The database miRKat is starting to get the shape and had already shown utility outside of this project. More refinement is vital before it can be published to a broad public. </w:t>
            </w:r>
          </w:p>
          <w:p>
            <w:pPr>
              <w:pStyle w:val="Normal"/>
              <w:widowControl w:val="false"/>
              <w:spacing w:before="0" w:after="0"/>
              <w:jc w:val="left"/>
              <w:rPr>
                <w:rFonts w:ascii="Cal" w:hAnsi="Cal" w:cs="Calibri" w:cstheme="minorHAnsi"/>
                <w:b w:val="false"/>
                <w:b w:val="false"/>
                <w:bCs w:val="false"/>
              </w:rPr>
            </w:pPr>
            <w:r>
              <w:rPr>
                <w:rFonts w:cs="Calibri" w:cstheme="minorHAnsi" w:ascii="Cal" w:hAnsi="Cal"/>
                <w:b w:val="false"/>
                <w:bCs w:val="false"/>
              </w:rPr>
              <w:t>Documentation is missing and usability is limited by MySQL knowledge. Plans to take advantage of Natural Language Processing Models are present to allow anybody to ask complex queries more intuitively.</w:t>
            </w:r>
          </w:p>
          <w:p>
            <w:pPr>
              <w:pStyle w:val="Normal"/>
              <w:widowControl w:val="false"/>
              <w:spacing w:before="0" w:after="0"/>
              <w:jc w:val="left"/>
              <w:rPr>
                <w:rFonts w:ascii="Calibri" w:hAnsi="Calibri" w:cs="Calibri" w:asciiTheme="minorHAnsi" w:cstheme="minorHAnsi" w:hAnsiTheme="minorHAnsi"/>
                <w:b/>
                <w:b/>
              </w:rPr>
            </w:pPr>
            <w:r>
              <w:rPr>
                <w:rFonts w:cs="Calibri" w:cstheme="minorHAnsi" w:ascii="Calibri" w:hAnsi="Calibri"/>
                <w:b/>
              </w:rPr>
            </w:r>
          </w:p>
          <w:p>
            <w:pPr>
              <w:pStyle w:val="Normal"/>
              <w:widowControl w:val="false"/>
              <w:spacing w:before="0" w:after="0"/>
              <w:jc w:val="left"/>
              <w:rPr>
                <w:rFonts w:ascii="Calibri" w:hAnsi="Calibri" w:cs="Calibri" w:asciiTheme="minorHAnsi" w:cstheme="minorHAnsi" w:hAnsiTheme="minorHAnsi"/>
                <w:b/>
                <w:b/>
              </w:rPr>
            </w:pPr>
            <w:r>
              <w:rPr>
                <w:rFonts w:cs="Calibri" w:cstheme="minorHAnsi" w:ascii="Calibri" w:hAnsi="Calibri"/>
                <w:b/>
              </w:rPr>
            </w:r>
          </w:p>
        </w:tc>
      </w:tr>
    </w:tbl>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tbl>
      <w:tblPr>
        <w:tblStyle w:val="TableGrid"/>
        <w:tblW w:w="8789"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8789"/>
      </w:tblGrid>
      <w:tr>
        <w:trPr/>
        <w:tc>
          <w:tcPr>
            <w:tcW w:w="8789" w:type="dxa"/>
            <w:tcBorders/>
          </w:tcPr>
          <w:p>
            <w:pPr>
              <w:pStyle w:val="Normal"/>
              <w:widowControl w:val="false"/>
              <w:spacing w:before="0" w:after="0"/>
              <w:jc w:val="left"/>
              <w:rPr>
                <w:rFonts w:ascii="Calibri" w:hAnsi="Calibri" w:cs="Calibri" w:asciiTheme="minorHAnsi" w:cstheme="minorHAnsi" w:hAnsiTheme="minorHAnsi"/>
                <w:b/>
                <w:b/>
                <w:kern w:val="2"/>
              </w:rPr>
            </w:pPr>
            <w:r>
              <w:rPr>
                <w:rFonts w:cs="Calibri" w:ascii="Calibri" w:hAnsi="Calibri" w:asciiTheme="minorHAnsi" w:cstheme="minorHAnsi" w:hAnsiTheme="minorHAnsi"/>
                <w:b/>
                <w:kern w:val="2"/>
                <w:lang w:eastAsia="en-IE" w:bidi="ar-SA"/>
              </w:rPr>
              <w:t>Indicate any communications of your work or relevant articles submitted for publication or published during this period:</w:t>
            </w:r>
          </w:p>
          <w:p>
            <w:pPr>
              <w:pStyle w:val="Normal"/>
              <w:widowControl w:val="false"/>
              <w:spacing w:before="0" w:after="0"/>
              <w:jc w:val="left"/>
              <w:rPr>
                <w:rFonts w:ascii="Calibri" w:hAnsi="Calibri" w:cs="Calibri" w:asciiTheme="minorHAnsi" w:cstheme="minorHAnsi" w:hAnsiTheme="minorHAnsi"/>
                <w:b/>
                <w:b/>
                <w:kern w:val="2"/>
                <w:sz w:val="22"/>
                <w:szCs w:val="22"/>
              </w:rPr>
            </w:pPr>
            <w:r>
              <w:rPr>
                <w:rFonts w:cs="Calibri" w:cstheme="minorHAnsi" w:ascii="Calibri" w:hAnsi="Calibri"/>
                <w:b/>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09 September 2022</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EMBL-EBI: Slack and handbook closure for Mathematics of life: modelling molecular mechanisms 2022 Poster presentation</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02 December 2022</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Irish Computational Biology in Genomics Poster presentation and organization</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20,21 April 2023</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European Mathematical Genetics Meeting. Poster presentations</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Mathematics Research Day. Poster Presentation</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12 May 2023</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 xml:space="preserve"> </w:t>
            </w:r>
            <w:r>
              <w:rPr>
                <w:rFonts w:cs="Calibri" w:cstheme="minorHAnsi" w:ascii="Calibri" w:hAnsi="Calibri"/>
                <w:b w:val="false"/>
                <w:bCs w:val="false"/>
                <w:kern w:val="2"/>
                <w:sz w:val="22"/>
                <w:szCs w:val="22"/>
              </w:rPr>
              <w:t>The Virtual Institute of Bioinformatics &amp; Evolution. Poster Presentation and lightning talk</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08 – 11 June 2023</w:t>
            </w:r>
          </w:p>
          <w:p>
            <w:pPr>
              <w:pStyle w:val="Normal"/>
              <w:widowControl w:val="false"/>
              <w:spacing w:before="0" w:after="0"/>
              <w:jc w:val="left"/>
              <w:rPr>
                <w:rFonts w:ascii="Calibri" w:hAnsi="Calibri" w:cs="Calibri" w:asciiTheme="minorHAnsi" w:cstheme="minorHAnsi" w:hAnsiTheme="minorHAnsi"/>
                <w:b w:val="false"/>
                <w:b w:val="false"/>
                <w:bCs w:val="false"/>
                <w:kern w:val="2"/>
                <w:sz w:val="22"/>
                <w:szCs w:val="22"/>
              </w:rPr>
            </w:pPr>
            <w:r>
              <w:rPr>
                <w:rFonts w:cs="Calibri" w:cstheme="minorHAnsi" w:ascii="Calibri" w:hAnsi="Calibri"/>
                <w:b w:val="false"/>
                <w:bCs w:val="false"/>
                <w:kern w:val="2"/>
                <w:sz w:val="22"/>
                <w:szCs w:val="22"/>
              </w:rPr>
              <w:t>American Aging Association anual meeting 2023 Poster presentation</w:t>
            </w:r>
          </w:p>
          <w:p>
            <w:pPr>
              <w:pStyle w:val="Normal"/>
              <w:widowControl w:val="false"/>
              <w:spacing w:before="0" w:after="0"/>
              <w:jc w:val="left"/>
              <w:rPr>
                <w:rFonts w:ascii="Calibri" w:hAnsi="Calibri" w:cs="Calibri" w:asciiTheme="minorHAnsi" w:cstheme="minorHAnsi" w:hAnsiTheme="minorHAnsi"/>
                <w:b/>
                <w:b/>
                <w:kern w:val="2"/>
                <w:sz w:val="22"/>
                <w:szCs w:val="22"/>
              </w:rPr>
            </w:pPr>
            <w:r>
              <w:rPr>
                <w:rFonts w:cs="Calibri" w:cstheme="minorHAnsi" w:ascii="Calibri" w:hAnsi="Calibri"/>
                <w:b/>
                <w:kern w:val="2"/>
                <w:sz w:val="22"/>
                <w:szCs w:val="22"/>
              </w:rPr>
            </w:r>
          </w:p>
          <w:p>
            <w:pPr>
              <w:pStyle w:val="Normal"/>
              <w:widowControl w:val="false"/>
              <w:spacing w:before="0" w:after="0"/>
              <w:jc w:val="left"/>
              <w:rPr>
                <w:rFonts w:ascii="Calibri" w:hAnsi="Calibri" w:cs="Calibri" w:asciiTheme="minorHAnsi" w:cstheme="minorHAnsi" w:hAnsiTheme="minorHAnsi"/>
                <w:b/>
                <w:b/>
                <w:kern w:val="2"/>
                <w:sz w:val="22"/>
                <w:szCs w:val="22"/>
              </w:rPr>
            </w:pPr>
            <w:r>
              <w:rPr>
                <w:rFonts w:cs="Calibri" w:cstheme="minorHAnsi" w:ascii="Calibri" w:hAnsi="Calibri"/>
                <w:b/>
                <w:kern w:val="2"/>
                <w:sz w:val="22"/>
                <w:szCs w:val="22"/>
              </w:rPr>
            </w:r>
          </w:p>
          <w:p>
            <w:pPr>
              <w:pStyle w:val="Normal"/>
              <w:widowControl w:val="false"/>
              <w:spacing w:before="0" w:after="0"/>
              <w:jc w:val="left"/>
              <w:rPr>
                <w:rFonts w:ascii="Calibri" w:hAnsi="Calibri" w:cs="Calibri" w:asciiTheme="minorHAnsi" w:cstheme="minorHAnsi" w:hAnsiTheme="minorHAnsi"/>
                <w:kern w:val="2"/>
                <w:sz w:val="22"/>
                <w:szCs w:val="22"/>
              </w:rPr>
            </w:pPr>
            <w:r>
              <w:rPr>
                <w:rFonts w:cs="Calibri" w:cstheme="minorHAnsi" w:ascii="Calibri" w:hAnsi="Calibri"/>
                <w:kern w:val="2"/>
                <w:sz w:val="22"/>
                <w:szCs w:val="22"/>
              </w:rPr>
            </w:r>
          </w:p>
          <w:p>
            <w:pPr>
              <w:pStyle w:val="Normal"/>
              <w:widowControl w:val="false"/>
              <w:spacing w:before="0" w:after="0"/>
              <w:jc w:val="left"/>
              <w:rPr>
                <w:rFonts w:ascii="Calibri" w:hAnsi="Calibri" w:cs="Calibri" w:asciiTheme="minorHAnsi" w:cstheme="minorHAnsi" w:hAnsiTheme="minorHAnsi"/>
                <w:kern w:val="2"/>
                <w:sz w:val="22"/>
                <w:szCs w:val="22"/>
              </w:rPr>
            </w:pPr>
            <w:r>
              <w:rPr>
                <w:rFonts w:cs="Calibri" w:cstheme="minorHAnsi" w:ascii="Calibri" w:hAnsi="Calibri"/>
                <w:kern w:val="2"/>
                <w:sz w:val="22"/>
                <w:szCs w:val="22"/>
              </w:rPr>
            </w:r>
          </w:p>
          <w:p>
            <w:pPr>
              <w:pStyle w:val="Normal"/>
              <w:widowControl w:val="false"/>
              <w:spacing w:before="0" w:after="0"/>
              <w:jc w:val="left"/>
              <w:rPr>
                <w:rFonts w:ascii="Calibri" w:hAnsi="Calibri" w:cs="Calibri" w:asciiTheme="minorHAnsi" w:cstheme="minorHAnsi" w:hAnsiTheme="minorHAnsi"/>
                <w:kern w:val="2"/>
                <w:sz w:val="22"/>
                <w:szCs w:val="22"/>
              </w:rPr>
            </w:pPr>
            <w:r>
              <w:rPr>
                <w:rFonts w:cs="Calibri" w:cstheme="minorHAnsi" w:ascii="Calibri" w:hAnsi="Calibri"/>
                <w:kern w:val="2"/>
                <w:sz w:val="22"/>
                <w:szCs w:val="22"/>
              </w:rPr>
            </w:r>
          </w:p>
          <w:p>
            <w:pPr>
              <w:pStyle w:val="Normal"/>
              <w:widowControl w:val="false"/>
              <w:spacing w:before="0" w:after="0"/>
              <w:jc w:val="left"/>
              <w:rPr>
                <w:rFonts w:ascii="Calibri" w:hAnsi="Calibri" w:cs="Calibri" w:asciiTheme="minorHAnsi" w:cstheme="minorHAnsi" w:hAnsiTheme="minorHAnsi"/>
                <w:b/>
                <w:b/>
                <w:kern w:val="2"/>
              </w:rPr>
            </w:pPr>
            <w:r>
              <w:rPr>
                <w:rFonts w:cs="Calibri" w:cstheme="minorHAnsi" w:ascii="Calibri" w:hAnsi="Calibri"/>
                <w:b/>
                <w:kern w:val="2"/>
              </w:rPr>
            </w:r>
          </w:p>
        </w:tc>
      </w:tr>
    </w:tbl>
    <w:p>
      <w:pPr>
        <w:pStyle w:val="Normal"/>
        <w:rPr>
          <w:rFonts w:ascii="Calibri" w:hAnsi="Calibri" w:cs="Calibri" w:asciiTheme="minorHAnsi" w:cstheme="minorHAnsi" w:hAnsiTheme="minorHAnsi"/>
          <w:b/>
          <w:b/>
          <w:kern w:val="2"/>
        </w:rPr>
      </w:pPr>
      <w:r>
        <w:rPr>
          <w:rFonts w:cs="Calibri" w:cstheme="minorHAnsi" w:ascii="Calibri" w:hAnsi="Calibri"/>
          <w:b/>
          <w:kern w:val="2"/>
        </w:rPr>
      </w:r>
    </w:p>
    <w:p>
      <w:pPr>
        <w:pStyle w:val="Normal"/>
        <w:widowControl/>
        <w:suppressAutoHyphens w:val="false"/>
        <w:rPr>
          <w:rFonts w:ascii="Calibri" w:hAnsi="Calibri" w:cs="Calibri" w:asciiTheme="minorHAnsi" w:cstheme="minorHAnsi" w:hAnsiTheme="minorHAnsi"/>
          <w:b/>
          <w:b/>
          <w:u w:val="single"/>
        </w:rPr>
      </w:pPr>
      <w:r>
        <w:rPr>
          <w:rFonts w:cs="Calibri" w:cstheme="minorHAnsi" w:ascii="Calibri" w:hAnsi="Calibri"/>
          <w:b/>
          <w:u w:val="single"/>
        </w:rPr>
      </w:r>
      <w:r>
        <w:br w:type="page"/>
      </w:r>
    </w:p>
    <w:p>
      <w:pPr>
        <w:pStyle w:val="Normal"/>
        <w:ind w:left="142" w:hanging="0"/>
        <w:rPr>
          <w:rFonts w:ascii="Calibri" w:hAnsi="Calibri" w:cs="Calibri" w:asciiTheme="minorHAnsi" w:cstheme="minorHAnsi" w:hAnsiTheme="minorHAnsi"/>
          <w:i/>
          <w:i/>
        </w:rPr>
      </w:pPr>
      <w:r>
        <w:rPr>
          <w:rFonts w:cs="Calibri" w:cstheme="minorHAnsi" w:ascii="Calibri" w:hAnsi="Calibri"/>
          <w:i/>
        </w:rPr>
      </w:r>
    </w:p>
    <w:tbl>
      <w:tblPr>
        <w:tblStyle w:val="TableGrid"/>
        <w:tblW w:w="8789"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8789"/>
      </w:tblGrid>
      <w:tr>
        <w:trPr/>
        <w:tc>
          <w:tcPr>
            <w:tcW w:w="8789" w:type="dxa"/>
            <w:tcBorders/>
          </w:tcPr>
          <w:p>
            <w:pPr>
              <w:pStyle w:val="Normal"/>
              <w:widowControl w:val="false"/>
              <w:spacing w:before="0" w:after="0"/>
              <w:jc w:val="left"/>
              <w:rPr>
                <w:rFonts w:ascii="Calibri" w:hAnsi="Calibri" w:cs="Calibri" w:asciiTheme="minorHAnsi" w:cstheme="minorHAnsi" w:hAnsiTheme="minorHAnsi"/>
                <w:b/>
                <w:b/>
                <w:kern w:val="2"/>
              </w:rPr>
            </w:pPr>
            <w:r>
              <w:rPr>
                <w:rFonts w:cs="Calibri" w:ascii="Calibri" w:hAnsi="Calibri" w:asciiTheme="minorHAnsi" w:cstheme="minorHAnsi" w:hAnsiTheme="minorHAnsi"/>
                <w:b/>
                <w:kern w:val="2"/>
                <w:lang w:eastAsia="en-IE" w:bidi="ar-SA"/>
              </w:rPr>
              <w:t>Completion Plan</w:t>
            </w:r>
          </w:p>
          <w:p>
            <w:pPr>
              <w:pStyle w:val="Normal"/>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lang w:eastAsia="en-IE" w:bidi="ar-SA"/>
              </w:rPr>
              <w:t>Students nearing completion must provide a completion plan</w:t>
            </w:r>
          </w:p>
          <w:p>
            <w:pPr>
              <w:pStyle w:val="Normal"/>
              <w:widowControl w:val="false"/>
              <w:spacing w:before="0" w:after="0"/>
              <w:jc w:val="left"/>
              <w:rPr>
                <w:rFonts w:ascii="Calibri" w:hAnsi="Calibri" w:cs="Calibri" w:asciiTheme="minorHAnsi" w:cstheme="minorHAnsi" w:hAnsiTheme="minorHAnsi"/>
                <w:b/>
                <w:b/>
                <w:u w:val="single"/>
              </w:rPr>
            </w:pPr>
            <w:r>
              <w:rPr>
                <w:rFonts w:cs="Calibri" w:ascii="Calibri" w:hAnsi="Calibri" w:asciiTheme="minorHAnsi" w:cstheme="minorHAnsi" w:hAnsiTheme="minorHAnsi"/>
                <w:lang w:eastAsia="en-IE" w:bidi="ar-SA"/>
              </w:rPr>
              <w:t>i.e.</w:t>
            </w:r>
            <w:r>
              <w:rPr>
                <w:rFonts w:cs="Calibri" w:ascii="Calibri" w:hAnsi="Calibri" w:asciiTheme="minorHAnsi" w:cstheme="minorHAnsi" w:hAnsiTheme="minorHAnsi"/>
                <w:b/>
                <w:lang w:eastAsia="en-IE" w:bidi="ar-SA"/>
              </w:rPr>
              <w:t xml:space="preserve"> </w:t>
            </w:r>
            <w:r>
              <w:rPr>
                <w:rFonts w:cs="Calibri" w:ascii="Calibri" w:hAnsi="Calibri" w:asciiTheme="minorHAnsi" w:cstheme="minorHAnsi" w:hAnsiTheme="minorHAnsi"/>
                <w:lang w:eastAsia="en-IE" w:bidi="ar-SA"/>
              </w:rPr>
              <w:t>all full-time PhD/MD students in years 3, 4 and later (part-time students in years 4, 5, 6 and later) and all full-time Research Masters students in all years (part-time students in years 2 and later).</w:t>
            </w:r>
          </w:p>
          <w:p>
            <w:pPr>
              <w:pStyle w:val="Normal"/>
              <w:widowControl w:val="false"/>
              <w:spacing w:before="0" w:after="0"/>
              <w:jc w:val="left"/>
              <w:rPr>
                <w:rFonts w:ascii="Calibri" w:hAnsi="Calibri" w:cs="Calibri" w:asciiTheme="minorHAnsi" w:cstheme="minorHAnsi" w:hAnsiTheme="minorHAnsi"/>
                <w:b/>
                <w:b/>
                <w:kern w:val="2"/>
              </w:rPr>
            </w:pPr>
            <w:r>
              <w:rPr>
                <w:rFonts w:cs="Calibri" w:cstheme="minorHAnsi" w:ascii="Calibri" w:hAnsi="Calibri"/>
                <w:b/>
                <w:kern w:val="2"/>
              </w:rPr>
            </w:r>
          </w:p>
          <w:p>
            <w:pPr>
              <w:pStyle w:val="Normal"/>
              <w:widowControl w:val="false"/>
              <w:spacing w:before="0" w:after="0"/>
              <w:jc w:val="left"/>
              <w:rPr>
                <w:rFonts w:ascii="Calibri" w:hAnsi="Calibri" w:cs="Calibri" w:asciiTheme="minorHAnsi" w:cstheme="minorHAnsi" w:hAnsiTheme="minorHAnsi"/>
                <w:kern w:val="2"/>
              </w:rPr>
            </w:pPr>
            <w:r>
              <w:rPr>
                <w:rFonts w:cs="Calibri" w:ascii="Calibri" w:hAnsi="Calibri" w:asciiTheme="minorHAnsi" w:cstheme="minorHAnsi" w:hAnsiTheme="minorHAnsi"/>
                <w:kern w:val="2"/>
                <w:lang w:eastAsia="en-IE" w:bidi="ar-SA"/>
              </w:rPr>
              <w:t>Plan must include tasks to be completed during the next year with timeframe.</w:t>
            </w:r>
          </w:p>
          <w:p>
            <w:pPr>
              <w:pStyle w:val="Normal"/>
              <w:widowControl w:val="false"/>
              <w:spacing w:before="0" w:after="0"/>
              <w:jc w:val="left"/>
              <w:rPr>
                <w:rFonts w:ascii="Calibri" w:hAnsi="Calibri" w:cs="Calibri" w:asciiTheme="minorHAnsi" w:cstheme="minorHAnsi" w:hAnsiTheme="minorHAnsi"/>
                <w:kern w:val="2"/>
              </w:rPr>
            </w:pPr>
            <w:r>
              <w:rPr>
                <w:rFonts w:cs="Calibri" w:ascii="Calibri" w:hAnsi="Calibri" w:asciiTheme="minorHAnsi" w:cstheme="minorHAnsi" w:hAnsiTheme="minorHAnsi"/>
                <w:kern w:val="2"/>
                <w:lang w:eastAsia="en-IE" w:bidi="ar-SA"/>
              </w:rPr>
              <w:t>A Gantt chart is appropriate.</w:t>
            </w:r>
          </w:p>
          <w:p>
            <w:pPr>
              <w:pStyle w:val="Normal"/>
              <w:widowControl w:val="false"/>
              <w:spacing w:before="0" w:after="0"/>
              <w:jc w:val="left"/>
              <w:rPr>
                <w:rFonts w:ascii="Calibri" w:hAnsi="Calibri" w:cs="Calibri" w:asciiTheme="minorHAnsi" w:cstheme="minorHAnsi" w:hAnsiTheme="minorHAnsi"/>
                <w:kern w:val="2"/>
              </w:rPr>
            </w:pPr>
            <w:r>
              <w:rPr>
                <w:rFonts w:cs="Calibri" w:ascii="Calibri" w:hAnsi="Calibri" w:asciiTheme="minorHAnsi" w:cstheme="minorHAnsi" w:hAnsiTheme="minorHAnsi"/>
                <w:kern w:val="2"/>
                <w:lang w:eastAsia="en-IE" w:bidi="ar-SA"/>
              </w:rPr>
              <w:t>Thesis writing should also be included along with publication plans.</w:t>
            </w:r>
          </w:p>
          <w:p>
            <w:pPr>
              <w:pStyle w:val="Normal"/>
              <w:widowControl w:val="false"/>
              <w:spacing w:before="0" w:after="0"/>
              <w:jc w:val="left"/>
              <w:rPr>
                <w:rFonts w:ascii="Calibri" w:hAnsi="Calibri" w:cs="Calibri" w:asciiTheme="minorHAnsi" w:cstheme="minorHAnsi" w:hAnsiTheme="minorHAnsi"/>
                <w:kern w:val="2"/>
              </w:rPr>
            </w:pPr>
            <w:r>
              <w:rPr>
                <w:rFonts w:cs="Calibri" w:cstheme="minorHAnsi" w:ascii="Calibri" w:hAnsi="Calibri"/>
                <w:kern w:val="2"/>
              </w:rPr>
            </w:r>
          </w:p>
          <w:p>
            <w:pPr>
              <w:pStyle w:val="Normal"/>
              <w:widowControl w:val="false"/>
              <w:spacing w:before="0" w:after="0"/>
              <w:jc w:val="left"/>
              <w:rPr>
                <w:rFonts w:ascii="Calibri" w:hAnsi="Calibri" w:cs="Calibri" w:asciiTheme="minorHAnsi" w:cstheme="minorHAnsi" w:hAnsiTheme="minorHAnsi"/>
                <w:kern w:val="2"/>
              </w:rPr>
            </w:pPr>
            <w:r>
              <w:rPr>
                <w:rFonts w:cs="Calibri" w:cstheme="minorHAnsi" w:ascii="Calibri" w:hAnsi="Calibri"/>
                <w:kern w:val="2"/>
              </w:rPr>
            </w:r>
          </w:p>
          <w:p>
            <w:pPr>
              <w:pStyle w:val="Normal"/>
              <w:widowControl w:val="false"/>
              <w:spacing w:before="0" w:after="0"/>
              <w:jc w:val="left"/>
              <w:rPr>
                <w:rFonts w:ascii="Calibri" w:hAnsi="Calibri" w:cs="Calibri" w:asciiTheme="minorHAnsi" w:cstheme="minorHAnsi" w:hAnsiTheme="minorHAnsi"/>
                <w:b/>
                <w:b/>
                <w:kern w:val="2"/>
              </w:rPr>
            </w:pPr>
            <w:r>
              <w:rPr>
                <w:rFonts w:cs="Calibri" w:cstheme="minorHAnsi" w:ascii="Calibri" w:hAnsi="Calibri"/>
                <w:b/>
                <w:kern w:val="2"/>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i/>
                <w:i/>
                <w:kern w:val="2"/>
              </w:rPr>
            </w:pPr>
            <w:r>
              <w:rPr>
                <w:rFonts w:cs="Calibri" w:cstheme="minorHAnsi" w:ascii="Calibri" w:hAnsi="Calibri"/>
                <w:i/>
                <w:kern w:val="2"/>
              </w:rPr>
            </w:r>
          </w:p>
          <w:p>
            <w:pPr>
              <w:pStyle w:val="Normal"/>
              <w:widowControl w:val="false"/>
              <w:spacing w:before="0" w:after="0"/>
              <w:jc w:val="left"/>
              <w:rPr>
                <w:rFonts w:ascii="Calibri" w:hAnsi="Calibri" w:cs="Calibri" w:asciiTheme="minorHAnsi" w:cstheme="minorHAnsi" w:hAnsiTheme="minorHAnsi"/>
                <w:i/>
                <w:i/>
                <w:kern w:val="2"/>
              </w:rPr>
            </w:pPr>
            <w:r>
              <w:rPr>
                <w:rFonts w:cs="Calibri" w:cstheme="minorHAnsi" w:ascii="Calibri" w:hAnsi="Calibri"/>
                <w:i/>
                <w:kern w:val="2"/>
              </w:rPr>
            </w:r>
          </w:p>
          <w:p>
            <w:pPr>
              <w:pStyle w:val="Normal"/>
              <w:widowControl w:val="false"/>
              <w:spacing w:before="0" w:after="0"/>
              <w:jc w:val="righ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right"/>
              <w:rPr>
                <w:rFonts w:ascii="Calibri" w:hAnsi="Calibri" w:cs="Calibri" w:asciiTheme="minorHAnsi" w:cstheme="minorHAnsi" w:hAnsiTheme="minorHAnsi"/>
              </w:rPr>
            </w:pPr>
            <w:r>
              <w:rPr>
                <w:rFonts w:cs="Calibri" w:ascii="Calibri" w:hAnsi="Calibri" w:asciiTheme="minorHAnsi" w:cstheme="minorHAnsi" w:hAnsiTheme="minorHAnsi"/>
                <w:i/>
                <w:kern w:val="2"/>
                <w:lang w:eastAsia="en-IE" w:bidi="ar-SA"/>
              </w:rPr>
              <w:t>Enlarge this box as necessary.</w:t>
            </w:r>
          </w:p>
        </w:tc>
      </w:tr>
    </w:tbl>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8789"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8789"/>
      </w:tblGrid>
      <w:tr>
        <w:trPr/>
        <w:tc>
          <w:tcPr>
            <w:tcW w:w="8789" w:type="dxa"/>
            <w:tcBorders/>
          </w:tcPr>
          <w:p>
            <w:pPr>
              <w:pStyle w:val="Normal"/>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lang w:eastAsia="en-IE" w:bidi="ar-SA"/>
              </w:rPr>
              <w:t>When do you plan to submit your thesis?</w:t>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widowControl/>
        <w:suppressAutoHyphens w:val="false"/>
        <w:rPr>
          <w:rFonts w:ascii="Calibri" w:hAnsi="Calibri" w:cs="Calibri" w:asciiTheme="minorHAnsi" w:cstheme="minorHAnsi" w:hAnsiTheme="minorHAnsi"/>
          <w:b/>
          <w:b/>
          <w:i/>
          <w:i/>
        </w:rPr>
      </w:pPr>
      <w:r>
        <w:rPr>
          <w:rFonts w:cs="Calibri" w:ascii="Calibri" w:hAnsi="Calibri" w:asciiTheme="minorHAnsi" w:cstheme="minorHAnsi" w:hAnsiTheme="minorHAnsi"/>
          <w:b/>
          <w:i/>
        </w:rPr>
        <w:t xml:space="preserve">Note: </w:t>
      </w:r>
      <w:r>
        <w:rPr>
          <w:rFonts w:cs="Calibri" w:ascii="Calibri" w:hAnsi="Calibri" w:asciiTheme="minorHAnsi" w:cstheme="minorHAnsi" w:hAnsiTheme="minorHAnsi"/>
          <w:i/>
        </w:rPr>
        <w:t>Research students past their T</w:t>
      </w:r>
      <w:r>
        <w:rPr>
          <w:rFonts w:cs="Calibri" w:ascii="Calibri" w:hAnsi="Calibri" w:asciiTheme="minorHAnsi" w:cstheme="minorHAnsi" w:hAnsiTheme="minorHAnsi"/>
          <w:b/>
          <w:i/>
        </w:rPr>
        <w:t>ime Limit</w:t>
      </w:r>
      <w:r>
        <w:rPr>
          <w:rFonts w:cs="Calibri" w:ascii="Calibri" w:hAnsi="Calibri" w:asciiTheme="minorHAnsi" w:cstheme="minorHAnsi" w:hAnsiTheme="minorHAnsi"/>
          <w:i/>
        </w:rPr>
        <w:t xml:space="preserve"> (i.e. </w:t>
      </w:r>
      <w:r>
        <w:rPr>
          <w:rFonts w:cs="Calibri" w:ascii="Calibri" w:hAnsi="Calibri" w:asciiTheme="minorHAnsi" w:cstheme="minorHAnsi" w:hAnsiTheme="minorHAnsi"/>
          <w:b/>
          <w:i/>
        </w:rPr>
        <w:t>after</w:t>
      </w:r>
      <w:r>
        <w:rPr>
          <w:rFonts w:cs="Calibri" w:ascii="Calibri" w:hAnsi="Calibri" w:asciiTheme="minorHAnsi" w:cstheme="minorHAnsi" w:hAnsiTheme="minorHAnsi"/>
          <w:i/>
        </w:rPr>
        <w:t xml:space="preserve"> 4 years for a full-time PhD, 6 year part-time PhD, </w:t>
      </w:r>
      <w:r>
        <w:rPr>
          <w:rFonts w:cs="Calibri" w:ascii="Calibri" w:hAnsi="Calibri" w:asciiTheme="minorHAnsi" w:cstheme="minorHAnsi" w:hAnsiTheme="minorHAnsi"/>
          <w:b/>
          <w:i/>
        </w:rPr>
        <w:t>after</w:t>
      </w:r>
      <w:r>
        <w:rPr>
          <w:rFonts w:cs="Calibri" w:ascii="Calibri" w:hAnsi="Calibri" w:asciiTheme="minorHAnsi" w:cstheme="minorHAnsi" w:hAnsiTheme="minorHAnsi"/>
          <w:i/>
        </w:rPr>
        <w:t xml:space="preserve"> 2 years for full-time Masters and 3 years part-time Research Masters students) should meet more frequently with their GRC e.g. quarterly.</w:t>
      </w:r>
      <w:r>
        <w:rPr>
          <w:rFonts w:cs="Calibri" w:ascii="Calibri" w:hAnsi="Calibri" w:asciiTheme="minorHAnsi" w:cstheme="minorHAnsi" w:hAnsiTheme="minorHAnsi"/>
          <w:b/>
          <w:i/>
        </w:rPr>
        <w:t xml:space="preserve"> </w:t>
      </w:r>
      <w:r>
        <w:br w:type="page"/>
      </w:r>
    </w:p>
    <w:p>
      <w:pPr>
        <w:pStyle w:val="Normal"/>
        <w:ind w:left="142" w:hanging="0"/>
        <w:rPr>
          <w:rFonts w:ascii="Calibri" w:hAnsi="Calibri" w:cs="Calibri" w:asciiTheme="minorHAnsi" w:cstheme="minorHAnsi" w:hAnsiTheme="minorHAnsi"/>
          <w:b/>
          <w:b/>
        </w:rPr>
      </w:pPr>
      <w:r>
        <w:rPr>
          <w:rFonts w:cs="Calibri" w:ascii="Calibri" w:hAnsi="Calibri" w:asciiTheme="minorHAnsi" w:cstheme="minorHAnsi" w:hAnsiTheme="minorHAnsi"/>
          <w:b/>
        </w:rPr>
        <w:t>For students on structured research programmes</w:t>
      </w:r>
    </w:p>
    <w:p>
      <w:pPr>
        <w:pStyle w:val="Normal"/>
        <w:ind w:left="142" w:hanging="0"/>
        <w:rPr>
          <w:rFonts w:ascii="Calibri" w:hAnsi="Calibri" w:cs="Calibri"/>
        </w:rPr>
      </w:pPr>
      <w:r>
        <w:rPr>
          <w:rFonts w:cs="Calibri" w:ascii="Calibri" w:hAnsi="Calibri" w:asciiTheme="minorHAnsi" w:cstheme="minorHAnsi" w:hAnsiTheme="minorHAnsi"/>
        </w:rPr>
        <w:t>Complete the tables below indicating the taught modules you have taken this academic year.</w:t>
      </w:r>
    </w:p>
    <w:p>
      <w:pPr>
        <w:pStyle w:val="Normal"/>
        <w:rPr>
          <w:rFonts w:ascii="Calibri" w:hAnsi="Calibri" w:cs="Calibri"/>
        </w:rPr>
      </w:pPr>
      <w:r>
        <w:rPr>
          <w:rFonts w:cs="Calibri" w:ascii="Calibri" w:hAnsi="Calibri"/>
        </w:rPr>
      </w:r>
    </w:p>
    <w:tbl>
      <w:tblPr>
        <w:tblW w:w="6662"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1347"/>
        <w:gridCol w:w="4253"/>
        <w:gridCol w:w="1062"/>
      </w:tblGrid>
      <w:tr>
        <w:trPr>
          <w:trHeight w:val="225" w:hRule="atLeast"/>
        </w:trPr>
        <w:tc>
          <w:tcPr>
            <w:tcW w:w="6662"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Calibri" w:hAnsi="Calibri" w:cs="Calibri"/>
                <w:b/>
                <w:b/>
                <w:bCs/>
              </w:rPr>
            </w:pPr>
            <w:r>
              <w:rPr>
                <w:rFonts w:cs="Calibri" w:ascii="Calibri" w:hAnsi="Calibri"/>
                <w:b/>
                <w:bCs/>
              </w:rPr>
              <w:t>GS  Modules to be assessed by supervisor</w:t>
            </w:r>
          </w:p>
          <w:p>
            <w:pPr>
              <w:pStyle w:val="Normal"/>
              <w:widowControl w:val="false"/>
              <w:snapToGrid w:val="false"/>
              <w:rPr>
                <w:rFonts w:ascii="Calibri" w:hAnsi="Calibri" w:cs="Calibri"/>
                <w:bCs/>
              </w:rPr>
            </w:pPr>
            <w:r>
              <w:rPr>
                <w:rFonts w:cs="Calibri" w:ascii="Calibri" w:hAnsi="Calibri"/>
                <w:bCs/>
              </w:rPr>
              <w:t xml:space="preserve"> </w:t>
            </w:r>
            <w:r>
              <w:rPr>
                <w:rFonts w:cs="Calibri" w:ascii="Calibri" w:hAnsi="Calibri"/>
                <w:bCs/>
              </w:rPr>
              <w:t>(e.g. GS501)</w:t>
            </w:r>
          </w:p>
        </w:tc>
      </w:tr>
      <w:tr>
        <w:trPr>
          <w:trHeight w:val="225" w:hRule="atLeast"/>
        </w:trPr>
        <w:tc>
          <w:tcPr>
            <w:tcW w:w="134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cs="Calibri"/>
                <w:b/>
                <w:b/>
                <w:bCs/>
              </w:rPr>
            </w:pPr>
            <w:r>
              <w:rPr>
                <w:rFonts w:cs="Calibri" w:ascii="Calibri" w:hAnsi="Calibri"/>
                <w:b/>
                <w:bCs/>
              </w:rPr>
              <w:t>Code</w:t>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cs="Calibri"/>
                <w:b/>
                <w:b/>
                <w:bCs/>
              </w:rPr>
            </w:pPr>
            <w:r>
              <w:rPr>
                <w:rFonts w:cs="Calibri" w:ascii="Calibri" w:hAnsi="Calibri"/>
                <w:b/>
                <w:bCs/>
              </w:rPr>
              <w:t>Module Title</w:t>
            </w:r>
          </w:p>
        </w:tc>
        <w:tc>
          <w:tcPr>
            <w:tcW w:w="1062" w:type="dxa"/>
            <w:tcBorders>
              <w:top w:val="single" w:sz="4" w:space="0" w:color="000000"/>
              <w:bottom w:val="single" w:sz="4" w:space="0" w:color="000000"/>
              <w:right w:val="single" w:sz="4" w:space="0" w:color="000000"/>
            </w:tcBorders>
          </w:tcPr>
          <w:p>
            <w:pPr>
              <w:pStyle w:val="Normal"/>
              <w:widowControl w:val="false"/>
              <w:snapToGrid w:val="false"/>
              <w:jc w:val="center"/>
              <w:rPr>
                <w:rFonts w:ascii="Calibri" w:hAnsi="Calibri" w:cs="Calibri"/>
                <w:b/>
                <w:b/>
                <w:bCs/>
              </w:rPr>
            </w:pPr>
            <w:r>
              <w:rPr>
                <w:rFonts w:cs="Calibri" w:ascii="Calibri" w:hAnsi="Calibri"/>
                <w:b/>
                <w:bCs/>
              </w:rPr>
              <w:t>ECTS</w:t>
            </w:r>
          </w:p>
        </w:tc>
      </w:tr>
      <w:tr>
        <w:trPr>
          <w:trHeight w:val="225" w:hRule="atLeast"/>
        </w:trPr>
        <w:tc>
          <w:tcPr>
            <w:tcW w:w="1347" w:type="dxa"/>
            <w:tcBorders>
              <w:top w:val="single" w:sz="4" w:space="0" w:color="000000"/>
              <w:left w:val="single" w:sz="4" w:space="0" w:color="000000"/>
              <w:bottom w:val="single" w:sz="4" w:space="0" w:color="000000"/>
              <w:right w:val="single" w:sz="4" w:space="0" w:color="000000"/>
            </w:tcBorders>
          </w:tcPr>
          <w:p>
            <w:pPr>
              <w:pStyle w:val="TableContents"/>
              <w:jc w:val="left"/>
              <w:rPr/>
            </w:pPr>
            <w:r>
              <w:rPr/>
              <w:t>MA653</w:t>
            </w:r>
          </w:p>
        </w:tc>
        <w:tc>
          <w:tcPr>
            <w:tcW w:w="4253" w:type="dxa"/>
            <w:tcBorders>
              <w:top w:val="single" w:sz="4" w:space="0" w:color="000000"/>
              <w:left w:val="single" w:sz="4" w:space="0" w:color="000000"/>
              <w:bottom w:val="single" w:sz="4" w:space="0" w:color="000000"/>
              <w:right w:val="single" w:sz="4" w:space="0" w:color="000000"/>
            </w:tcBorders>
          </w:tcPr>
          <w:p>
            <w:pPr>
              <w:pStyle w:val="TableContents"/>
              <w:jc w:val="left"/>
              <w:rPr/>
            </w:pPr>
            <w:r>
              <w:rPr/>
              <w:t>Foundations of Genomics Data Science</w:t>
            </w:r>
          </w:p>
        </w:tc>
        <w:tc>
          <w:tcPr>
            <w:tcW w:w="1062" w:type="dxa"/>
            <w:tcBorders>
              <w:top w:val="single" w:sz="4" w:space="0" w:color="000000"/>
              <w:bottom w:val="single" w:sz="4" w:space="0" w:color="000000"/>
              <w:right w:val="single" w:sz="4" w:space="0" w:color="000000"/>
            </w:tcBorders>
          </w:tcPr>
          <w:p>
            <w:pPr>
              <w:pStyle w:val="TableContents"/>
              <w:jc w:val="right"/>
              <w:rPr/>
            </w:pPr>
            <w:r>
              <w:rPr/>
              <w:t>10</w:t>
            </w:r>
          </w:p>
        </w:tc>
      </w:tr>
      <w:tr>
        <w:trPr>
          <w:trHeight w:val="225" w:hRule="atLeast"/>
        </w:trPr>
        <w:tc>
          <w:tcPr>
            <w:tcW w:w="1347" w:type="dxa"/>
            <w:tcBorders>
              <w:top w:val="single" w:sz="4" w:space="0" w:color="000000"/>
              <w:left w:val="single" w:sz="4" w:space="0" w:color="000000"/>
              <w:bottom w:val="single" w:sz="4" w:space="0" w:color="000000"/>
              <w:right w:val="single" w:sz="4" w:space="0" w:color="000000"/>
            </w:tcBorders>
          </w:tcPr>
          <w:p>
            <w:pPr>
              <w:pStyle w:val="TableContents"/>
              <w:jc w:val="left"/>
              <w:rPr/>
            </w:pPr>
            <w:r>
              <w:rPr/>
              <w:t>MA654</w:t>
            </w:r>
          </w:p>
        </w:tc>
        <w:tc>
          <w:tcPr>
            <w:tcW w:w="4253" w:type="dxa"/>
            <w:tcBorders>
              <w:top w:val="single" w:sz="4" w:space="0" w:color="000000"/>
              <w:left w:val="single" w:sz="4" w:space="0" w:color="000000"/>
              <w:bottom w:val="single" w:sz="4" w:space="0" w:color="000000"/>
              <w:right w:val="single" w:sz="4" w:space="0" w:color="000000"/>
            </w:tcBorders>
          </w:tcPr>
          <w:p>
            <w:pPr>
              <w:pStyle w:val="TableContents"/>
              <w:jc w:val="left"/>
              <w:rPr/>
            </w:pPr>
            <w:r>
              <w:rPr/>
              <w:t>Advanced Genomics Data Science</w:t>
            </w:r>
          </w:p>
        </w:tc>
        <w:tc>
          <w:tcPr>
            <w:tcW w:w="1062" w:type="dxa"/>
            <w:tcBorders>
              <w:top w:val="single" w:sz="4" w:space="0" w:color="000000"/>
              <w:bottom w:val="single" w:sz="4" w:space="0" w:color="000000"/>
              <w:right w:val="single" w:sz="4" w:space="0" w:color="000000"/>
            </w:tcBorders>
          </w:tcPr>
          <w:p>
            <w:pPr>
              <w:pStyle w:val="TableContents"/>
              <w:jc w:val="right"/>
              <w:rPr/>
            </w:pPr>
            <w:r>
              <w:rPr/>
              <w:t>10</w:t>
            </w:r>
          </w:p>
        </w:tc>
      </w:tr>
      <w:tr>
        <w:trPr>
          <w:trHeight w:val="225" w:hRule="atLeast"/>
        </w:trPr>
        <w:tc>
          <w:tcPr>
            <w:tcW w:w="1347" w:type="dxa"/>
            <w:tcBorders>
              <w:top w:val="single" w:sz="4" w:space="0" w:color="000000"/>
              <w:left w:val="single" w:sz="4" w:space="0" w:color="000000"/>
              <w:bottom w:val="single" w:sz="4" w:space="0" w:color="000000"/>
              <w:right w:val="single" w:sz="4" w:space="0" w:color="000000"/>
            </w:tcBorders>
          </w:tcPr>
          <w:p>
            <w:pPr>
              <w:pStyle w:val="TableContents"/>
              <w:jc w:val="left"/>
              <w:rPr/>
            </w:pPr>
            <w:r>
              <w:rPr/>
              <w:t>MA655</w:t>
            </w:r>
          </w:p>
        </w:tc>
        <w:tc>
          <w:tcPr>
            <w:tcW w:w="4253" w:type="dxa"/>
            <w:tcBorders>
              <w:top w:val="single" w:sz="4" w:space="0" w:color="000000"/>
              <w:left w:val="single" w:sz="4" w:space="0" w:color="000000"/>
              <w:bottom w:val="single" w:sz="4" w:space="0" w:color="000000"/>
              <w:right w:val="single" w:sz="4" w:space="0" w:color="000000"/>
            </w:tcBorders>
          </w:tcPr>
          <w:p>
            <w:pPr>
              <w:pStyle w:val="TableContents"/>
              <w:jc w:val="left"/>
              <w:rPr/>
            </w:pPr>
            <w:r>
              <w:rPr/>
              <w:t>Applications of Genomics Data Science</w:t>
            </w:r>
          </w:p>
        </w:tc>
        <w:tc>
          <w:tcPr>
            <w:tcW w:w="1062" w:type="dxa"/>
            <w:tcBorders>
              <w:top w:val="single" w:sz="4" w:space="0" w:color="000000"/>
              <w:bottom w:val="single" w:sz="4" w:space="0" w:color="000000"/>
              <w:right w:val="single" w:sz="4" w:space="0" w:color="000000"/>
            </w:tcBorders>
          </w:tcPr>
          <w:p>
            <w:pPr>
              <w:pStyle w:val="TableContents"/>
              <w:jc w:val="right"/>
              <w:rPr/>
            </w:pPr>
            <w:r>
              <w:rPr/>
              <w:t>10</w:t>
            </w:r>
          </w:p>
        </w:tc>
      </w:tr>
    </w:tbl>
    <w:p>
      <w:pPr>
        <w:pStyle w:val="Normal"/>
        <w:rPr>
          <w:rFonts w:ascii="Calibri" w:hAnsi="Calibri" w:cs="Calibri"/>
        </w:rPr>
      </w:pPr>
      <w:r>
        <w:rPr>
          <w:rFonts w:cs="Calibri" w:ascii="Calibri" w:hAnsi="Calibri"/>
        </w:rPr>
      </w:r>
    </w:p>
    <w:tbl>
      <w:tblPr>
        <w:tblW w:w="6662"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1417"/>
        <w:gridCol w:w="4253"/>
        <w:gridCol w:w="992"/>
      </w:tblGrid>
      <w:tr>
        <w:trPr>
          <w:trHeight w:val="225" w:hRule="atLeast"/>
        </w:trPr>
        <w:tc>
          <w:tcPr>
            <w:tcW w:w="6662"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Calibri" w:hAnsi="Calibri" w:cs="Calibri"/>
                <w:b/>
                <w:b/>
                <w:bCs/>
              </w:rPr>
            </w:pPr>
            <w:r>
              <w:rPr>
                <w:rFonts w:cs="Calibri" w:ascii="Calibri" w:hAnsi="Calibri"/>
                <w:b/>
                <w:bCs/>
              </w:rPr>
              <w:t>GS  Modules (with module owners)</w:t>
            </w:r>
          </w:p>
          <w:p>
            <w:pPr>
              <w:pStyle w:val="Normal"/>
              <w:widowControl w:val="false"/>
              <w:snapToGrid w:val="false"/>
              <w:rPr>
                <w:rFonts w:ascii="Calibri" w:hAnsi="Calibri" w:cs="Calibri"/>
                <w:b/>
                <w:b/>
                <w:bCs/>
              </w:rPr>
            </w:pPr>
            <w:r>
              <w:rPr>
                <w:rFonts w:cs="Calibri" w:ascii="Calibri" w:hAnsi="Calibri"/>
                <w:bCs/>
              </w:rPr>
              <w:t xml:space="preserve"> </w:t>
            </w:r>
            <w:r>
              <w:rPr>
                <w:rFonts w:cs="Calibri" w:ascii="Calibri" w:hAnsi="Calibri"/>
                <w:bCs/>
              </w:rPr>
              <w:t>(e.g. GS506)</w:t>
            </w:r>
          </w:p>
        </w:tc>
      </w:tr>
      <w:tr>
        <w:trPr>
          <w:trHeight w:val="225" w:hRule="atLeast"/>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cs="Calibri"/>
                <w:b/>
                <w:b/>
                <w:bCs/>
              </w:rPr>
            </w:pPr>
            <w:r>
              <w:rPr>
                <w:rFonts w:cs="Calibri" w:ascii="Calibri" w:hAnsi="Calibri"/>
                <w:b/>
                <w:bCs/>
              </w:rPr>
              <w:t>Code</w:t>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cs="Calibri"/>
                <w:b/>
                <w:b/>
                <w:bCs/>
              </w:rPr>
            </w:pPr>
            <w:r>
              <w:rPr>
                <w:rFonts w:cs="Calibri" w:ascii="Calibri" w:hAnsi="Calibri"/>
                <w:b/>
                <w:bCs/>
              </w:rPr>
              <w:t>Module Title</w:t>
            </w:r>
          </w:p>
        </w:tc>
        <w:tc>
          <w:tcPr>
            <w:tcW w:w="992" w:type="dxa"/>
            <w:tcBorders>
              <w:top w:val="single" w:sz="4" w:space="0" w:color="000000"/>
              <w:bottom w:val="single" w:sz="4" w:space="0" w:color="000000"/>
              <w:right w:val="single" w:sz="4" w:space="0" w:color="000000"/>
            </w:tcBorders>
          </w:tcPr>
          <w:p>
            <w:pPr>
              <w:pStyle w:val="Normal"/>
              <w:widowControl w:val="false"/>
              <w:snapToGrid w:val="false"/>
              <w:jc w:val="center"/>
              <w:rPr>
                <w:rFonts w:ascii="Calibri" w:hAnsi="Calibri" w:cs="Calibri"/>
                <w:b/>
                <w:b/>
                <w:bCs/>
              </w:rPr>
            </w:pPr>
            <w:r>
              <w:rPr>
                <w:rFonts w:cs="Calibri" w:ascii="Calibri" w:hAnsi="Calibri"/>
                <w:b/>
                <w:bCs/>
              </w:rPr>
              <w:t>ECTS</w:t>
            </w:r>
          </w:p>
        </w:tc>
      </w:tr>
      <w:tr>
        <w:trPr>
          <w:trHeight w:val="225" w:hRule="atLeast"/>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rPr>
                <w:rFonts w:ascii="Calibri" w:hAnsi="Calibri" w:eastAsia="Times New Roman" w:cs="Calibri"/>
                <w:kern w:val="0"/>
                <w:lang w:val="en-IE"/>
              </w:rPr>
            </w:pPr>
            <w:r>
              <w:rPr>
                <w:rFonts w:eastAsia="Times New Roman" w:cs="Calibri" w:ascii="Calibri" w:hAnsi="Calibri"/>
                <w:kern w:val="0"/>
                <w:lang w:val="en-IE"/>
              </w:rPr>
            </w:r>
          </w:p>
          <w:p>
            <w:pPr>
              <w:pStyle w:val="Normal"/>
              <w:widowControl w:val="false"/>
              <w:suppressAutoHyphens w:val="false"/>
              <w:rPr>
                <w:rFonts w:ascii="Calibri" w:hAnsi="Calibri" w:eastAsia="Times New Roman" w:cs="Calibri"/>
                <w:kern w:val="0"/>
                <w:lang w:val="en-IE"/>
              </w:rPr>
            </w:pPr>
            <w:r>
              <w:rPr>
                <w:rFonts w:eastAsia="Times New Roman" w:cs="Calibri" w:ascii="Calibri" w:hAnsi="Calibri"/>
                <w:kern w:val="0"/>
                <w:lang w:val="en-IE"/>
              </w:rPr>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rPr>
                <w:rFonts w:ascii="Calibri" w:hAnsi="Calibri" w:eastAsia="Times New Roman" w:cs="Calibri"/>
                <w:kern w:val="0"/>
                <w:lang w:val="en-IE"/>
              </w:rPr>
            </w:pPr>
            <w:r>
              <w:rPr>
                <w:rFonts w:eastAsia="Times New Roman" w:cs="Calibri" w:ascii="Calibri" w:hAnsi="Calibri"/>
                <w:kern w:val="0"/>
                <w:lang w:val="en-IE"/>
              </w:rPr>
            </w:r>
          </w:p>
        </w:tc>
        <w:tc>
          <w:tcPr>
            <w:tcW w:w="992" w:type="dxa"/>
            <w:tcBorders>
              <w:top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r>
      <w:tr>
        <w:trPr>
          <w:trHeight w:val="225" w:hRule="atLeast"/>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p>
            <w:pPr>
              <w:pStyle w:val="Normal"/>
              <w:widowControl w:val="false"/>
              <w:rPr>
                <w:rFonts w:ascii="Calibri" w:hAnsi="Calibri" w:eastAsia="Times New Roman" w:cs="Calibri"/>
                <w:kern w:val="2"/>
              </w:rPr>
            </w:pPr>
            <w:r>
              <w:rPr>
                <w:rFonts w:eastAsia="Times New Roman" w:cs="Calibri" w:ascii="Calibri" w:hAnsi="Calibri"/>
                <w:kern w:val="2"/>
              </w:rPr>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c>
          <w:tcPr>
            <w:tcW w:w="992" w:type="dxa"/>
            <w:tcBorders>
              <w:top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r>
      <w:tr>
        <w:trPr>
          <w:trHeight w:val="225" w:hRule="atLeast"/>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p>
            <w:pPr>
              <w:pStyle w:val="Normal"/>
              <w:widowControl w:val="false"/>
              <w:rPr>
                <w:rFonts w:ascii="Calibri" w:hAnsi="Calibri" w:eastAsia="Times New Roman" w:cs="Calibri"/>
                <w:kern w:val="2"/>
              </w:rPr>
            </w:pPr>
            <w:r>
              <w:rPr>
                <w:rFonts w:eastAsia="Times New Roman" w:cs="Calibri" w:ascii="Calibri" w:hAnsi="Calibri"/>
                <w:kern w:val="2"/>
              </w:rPr>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c>
          <w:tcPr>
            <w:tcW w:w="992" w:type="dxa"/>
            <w:tcBorders>
              <w:top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r>
    </w:tbl>
    <w:p>
      <w:pPr>
        <w:pStyle w:val="Normal"/>
        <w:rPr>
          <w:rFonts w:ascii="Calibri" w:hAnsi="Calibri" w:cs="Calibri"/>
          <w:bCs/>
          <w:u w:val="single"/>
        </w:rPr>
      </w:pPr>
      <w:r>
        <w:rPr>
          <w:rFonts w:cs="Calibri" w:ascii="Calibri" w:hAnsi="Calibri"/>
        </w:rPr>
        <w:t xml:space="preserve">List of GS modules can be found at </w:t>
      </w:r>
      <w:hyperlink r:id="rId2">
        <w:r>
          <w:rPr>
            <w:rStyle w:val="InternetLink"/>
            <w:rFonts w:cs="Calibri" w:ascii="Calibri" w:hAnsi="Calibri"/>
            <w:bCs/>
          </w:rPr>
          <w:t>http://www.nuigalway.ie/graduatestudies/module_table.html</w:t>
        </w:r>
      </w:hyperlink>
    </w:p>
    <w:p>
      <w:pPr>
        <w:pStyle w:val="Normal"/>
        <w:rPr>
          <w:rFonts w:ascii="Calibri" w:hAnsi="Calibri" w:cs="Calibri"/>
          <w:b/>
          <w:b/>
          <w:kern w:val="2"/>
        </w:rPr>
      </w:pPr>
      <w:r>
        <w:rPr>
          <w:rFonts w:cs="Calibri" w:ascii="Calibri" w:hAnsi="Calibri"/>
          <w:b/>
          <w:kern w:val="2"/>
        </w:rPr>
      </w:r>
    </w:p>
    <w:tbl>
      <w:tblPr>
        <w:tblW w:w="6662"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1417"/>
        <w:gridCol w:w="4253"/>
        <w:gridCol w:w="992"/>
      </w:tblGrid>
      <w:tr>
        <w:trPr>
          <w:trHeight w:val="225" w:hRule="atLeast"/>
        </w:trPr>
        <w:tc>
          <w:tcPr>
            <w:tcW w:w="6662"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Calibri" w:hAnsi="Calibri" w:cs="Calibri"/>
                <w:b/>
                <w:b/>
                <w:bCs/>
              </w:rPr>
            </w:pPr>
            <w:r>
              <w:rPr>
                <w:rFonts w:cs="Calibri" w:ascii="Calibri" w:hAnsi="Calibri"/>
                <w:b/>
                <w:bCs/>
              </w:rPr>
              <w:t>Advanced Specialised Modules</w:t>
            </w:r>
          </w:p>
          <w:p>
            <w:pPr>
              <w:pStyle w:val="Normal"/>
              <w:widowControl w:val="false"/>
              <w:snapToGrid w:val="false"/>
              <w:rPr>
                <w:rFonts w:ascii="Calibri" w:hAnsi="Calibri" w:cs="Calibri"/>
                <w:b/>
                <w:b/>
                <w:bCs/>
              </w:rPr>
            </w:pPr>
            <w:r>
              <w:rPr>
                <w:rFonts w:cs="Calibri" w:ascii="Calibri" w:hAnsi="Calibri"/>
                <w:bCs/>
              </w:rPr>
              <w:t>(generally discipline-specific, e.g. CH503)</w:t>
            </w:r>
          </w:p>
        </w:tc>
      </w:tr>
      <w:tr>
        <w:trPr>
          <w:trHeight w:val="225" w:hRule="atLeast"/>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cs="Calibri"/>
                <w:b/>
                <w:b/>
                <w:bCs/>
              </w:rPr>
            </w:pPr>
            <w:r>
              <w:rPr>
                <w:rFonts w:cs="Calibri" w:ascii="Calibri" w:hAnsi="Calibri"/>
                <w:b/>
                <w:bCs/>
              </w:rPr>
              <w:t>Code</w:t>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cs="Calibri"/>
                <w:b/>
                <w:b/>
                <w:bCs/>
              </w:rPr>
            </w:pPr>
            <w:r>
              <w:rPr>
                <w:rFonts w:cs="Calibri" w:ascii="Calibri" w:hAnsi="Calibri"/>
                <w:b/>
                <w:bCs/>
              </w:rPr>
              <w:t>Module Title</w:t>
            </w:r>
          </w:p>
        </w:tc>
        <w:tc>
          <w:tcPr>
            <w:tcW w:w="992" w:type="dxa"/>
            <w:tcBorders>
              <w:top w:val="single" w:sz="4" w:space="0" w:color="000000"/>
              <w:bottom w:val="single" w:sz="4" w:space="0" w:color="000000"/>
              <w:right w:val="single" w:sz="4" w:space="0" w:color="000000"/>
            </w:tcBorders>
          </w:tcPr>
          <w:p>
            <w:pPr>
              <w:pStyle w:val="Normal"/>
              <w:widowControl w:val="false"/>
              <w:snapToGrid w:val="false"/>
              <w:jc w:val="center"/>
              <w:rPr>
                <w:rFonts w:ascii="Calibri" w:hAnsi="Calibri" w:cs="Calibri"/>
                <w:b/>
                <w:b/>
                <w:bCs/>
              </w:rPr>
            </w:pPr>
            <w:r>
              <w:rPr>
                <w:rFonts w:cs="Calibri" w:ascii="Calibri" w:hAnsi="Calibri"/>
                <w:b/>
                <w:bCs/>
              </w:rPr>
              <w:t>ECTS</w:t>
            </w:r>
          </w:p>
        </w:tc>
      </w:tr>
      <w:tr>
        <w:trPr>
          <w:trHeight w:val="225" w:hRule="atLeast"/>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rPr>
                <w:rFonts w:ascii="Calibri" w:hAnsi="Calibri" w:eastAsia="Times New Roman" w:cs="Calibri"/>
                <w:kern w:val="0"/>
                <w:lang w:val="en-IE"/>
              </w:rPr>
            </w:pPr>
            <w:r>
              <w:rPr>
                <w:rFonts w:eastAsia="Times New Roman" w:cs="Calibri" w:ascii="Calibri" w:hAnsi="Calibri"/>
                <w:kern w:val="0"/>
                <w:lang w:val="en-IE"/>
              </w:rPr>
            </w:r>
          </w:p>
          <w:p>
            <w:pPr>
              <w:pStyle w:val="Normal"/>
              <w:widowControl w:val="false"/>
              <w:suppressAutoHyphens w:val="false"/>
              <w:rPr>
                <w:rFonts w:ascii="Calibri" w:hAnsi="Calibri" w:eastAsia="Times New Roman" w:cs="Calibri"/>
                <w:kern w:val="0"/>
                <w:lang w:val="en-IE"/>
              </w:rPr>
            </w:pPr>
            <w:r>
              <w:rPr>
                <w:rFonts w:eastAsia="Times New Roman" w:cs="Calibri" w:ascii="Calibri" w:hAnsi="Calibri"/>
                <w:kern w:val="0"/>
                <w:lang w:val="en-IE"/>
              </w:rPr>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rPr>
                <w:rFonts w:ascii="Calibri" w:hAnsi="Calibri" w:eastAsia="Times New Roman" w:cs="Calibri"/>
                <w:kern w:val="0"/>
                <w:lang w:val="en-IE"/>
              </w:rPr>
            </w:pPr>
            <w:r>
              <w:rPr>
                <w:rFonts w:eastAsia="Times New Roman" w:cs="Calibri" w:ascii="Calibri" w:hAnsi="Calibri"/>
                <w:kern w:val="0"/>
                <w:lang w:val="en-IE"/>
              </w:rPr>
            </w:r>
          </w:p>
        </w:tc>
        <w:tc>
          <w:tcPr>
            <w:tcW w:w="992" w:type="dxa"/>
            <w:tcBorders>
              <w:top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r>
      <w:tr>
        <w:trPr>
          <w:trHeight w:val="225" w:hRule="atLeast"/>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p>
            <w:pPr>
              <w:pStyle w:val="Normal"/>
              <w:widowControl w:val="false"/>
              <w:rPr>
                <w:rFonts w:ascii="Calibri" w:hAnsi="Calibri" w:eastAsia="Times New Roman" w:cs="Calibri"/>
                <w:kern w:val="2"/>
              </w:rPr>
            </w:pPr>
            <w:r>
              <w:rPr>
                <w:rFonts w:eastAsia="Times New Roman" w:cs="Calibri" w:ascii="Calibri" w:hAnsi="Calibri"/>
                <w:kern w:val="2"/>
              </w:rPr>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c>
          <w:tcPr>
            <w:tcW w:w="992" w:type="dxa"/>
            <w:tcBorders>
              <w:top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r>
      <w:tr>
        <w:trPr>
          <w:trHeight w:val="225" w:hRule="atLeast"/>
        </w:trPr>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p>
            <w:pPr>
              <w:pStyle w:val="Normal"/>
              <w:widowControl w:val="false"/>
              <w:rPr>
                <w:rFonts w:ascii="Calibri" w:hAnsi="Calibri" w:eastAsia="Times New Roman" w:cs="Calibri"/>
                <w:kern w:val="2"/>
              </w:rPr>
            </w:pPr>
            <w:r>
              <w:rPr>
                <w:rFonts w:eastAsia="Times New Roman" w:cs="Calibri" w:ascii="Calibri" w:hAnsi="Calibri"/>
                <w:kern w:val="2"/>
              </w:rPr>
            </w:r>
          </w:p>
        </w:tc>
        <w:tc>
          <w:tcPr>
            <w:tcW w:w="425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c>
          <w:tcPr>
            <w:tcW w:w="992" w:type="dxa"/>
            <w:tcBorders>
              <w:top w:val="single" w:sz="4" w:space="0" w:color="000000"/>
              <w:bottom w:val="single" w:sz="4" w:space="0" w:color="000000"/>
              <w:right w:val="single" w:sz="4" w:space="0" w:color="000000"/>
            </w:tcBorders>
          </w:tcPr>
          <w:p>
            <w:pPr>
              <w:pStyle w:val="Normal"/>
              <w:widowControl w:val="false"/>
              <w:rPr>
                <w:rFonts w:ascii="Calibri" w:hAnsi="Calibri" w:eastAsia="Times New Roman" w:cs="Calibri"/>
                <w:kern w:val="2"/>
              </w:rPr>
            </w:pPr>
            <w:r>
              <w:rPr>
                <w:rFonts w:eastAsia="Times New Roman" w:cs="Calibri" w:ascii="Calibri" w:hAnsi="Calibri"/>
                <w:kern w:val="2"/>
              </w:rPr>
            </w:r>
          </w:p>
        </w:tc>
      </w:tr>
    </w:tbl>
    <w:p>
      <w:pPr>
        <w:pStyle w:val="Normal"/>
        <w:rPr>
          <w:rFonts w:ascii="Calibri" w:hAnsi="Calibri" w:cs="Calibri"/>
          <w:bCs/>
          <w:u w:val="single"/>
        </w:rPr>
      </w:pPr>
      <w:r>
        <w:rPr>
          <w:rFonts w:cs="Calibri" w:ascii="Calibri" w:hAnsi="Calibri"/>
          <w:bCs/>
          <w:u w:val="single"/>
        </w:rPr>
      </w:r>
    </w:p>
    <w:tbl>
      <w:tblPr>
        <w:tblStyle w:val="TableGrid"/>
        <w:tblW w:w="8789"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8789"/>
      </w:tblGrid>
      <w:tr>
        <w:trPr/>
        <w:tc>
          <w:tcPr>
            <w:tcW w:w="8789" w:type="dxa"/>
            <w:tcBorders/>
          </w:tcPr>
          <w:p>
            <w:pPr>
              <w:pStyle w:val="Normal"/>
              <w:widowControl w:val="false"/>
              <w:spacing w:before="0" w:after="0"/>
              <w:jc w:val="left"/>
              <w:rPr>
                <w:rFonts w:ascii="Calibri" w:hAnsi="Calibri" w:cs="Calibri"/>
                <w:bCs/>
              </w:rPr>
            </w:pPr>
            <w:r>
              <w:rPr>
                <w:rFonts w:cs="Calibri" w:ascii="Calibri" w:hAnsi="Calibri"/>
                <w:bCs/>
                <w:lang w:eastAsia="en-IE" w:bidi="ar-SA"/>
              </w:rPr>
              <w:t>Have you successfully completed any module in another Irish university during this period?</w:t>
            </w:r>
          </w:p>
          <w:p>
            <w:pPr>
              <w:pStyle w:val="Normal"/>
              <w:widowControl w:val="false"/>
              <w:spacing w:before="0" w:after="0"/>
              <w:jc w:val="left"/>
              <w:rPr>
                <w:rFonts w:ascii="Calibri" w:hAnsi="Calibri" w:cs="Calibri"/>
                <w:bCs/>
              </w:rPr>
            </w:pPr>
            <w:r>
              <w:rPr>
                <w:rFonts w:cs="Calibri" w:ascii="Calibri" w:hAnsi="Calibri"/>
                <w:bCs/>
              </w:rPr>
            </w:r>
          </w:p>
          <w:p>
            <w:pPr>
              <w:pStyle w:val="Normal"/>
              <w:widowControl w:val="false"/>
              <w:spacing w:before="0" w:after="0"/>
              <w:jc w:val="left"/>
              <w:rPr>
                <w:rFonts w:ascii="Calibri" w:hAnsi="Calibri" w:cs="Calibri"/>
                <w:bCs/>
              </w:rPr>
            </w:pPr>
            <w:r>
              <w:rPr>
                <w:rFonts w:cs="Calibri" w:ascii="Calibri" w:hAnsi="Calibri"/>
                <w:bCs/>
                <w:lang w:eastAsia="en-IE" w:bidi="ar-SA"/>
              </w:rPr>
              <w:t>If yes, provide details here and attach evidence of successful completion.</w:t>
            </w:r>
          </w:p>
          <w:p>
            <w:pPr>
              <w:pStyle w:val="Normal"/>
              <w:widowControl w:val="false"/>
              <w:spacing w:before="0" w:after="0"/>
              <w:jc w:val="left"/>
              <w:rPr>
                <w:rFonts w:ascii="Calibri" w:hAnsi="Calibri" w:cs="Calibri"/>
                <w:bCs/>
                <w:u w:val="single"/>
              </w:rPr>
            </w:pPr>
            <w:r>
              <w:rPr>
                <w:rFonts w:cs="Calibri" w:ascii="Calibri" w:hAnsi="Calibri"/>
                <w:bCs/>
                <w:u w:val="single"/>
              </w:rPr>
            </w:r>
          </w:p>
          <w:p>
            <w:pPr>
              <w:pStyle w:val="Normal"/>
              <w:widowControl w:val="false"/>
              <w:spacing w:before="0" w:after="0"/>
              <w:jc w:val="left"/>
              <w:rPr>
                <w:rFonts w:ascii="Calibri" w:hAnsi="Calibri" w:cs="Calibri"/>
                <w:bCs/>
                <w:i/>
                <w:i/>
              </w:rPr>
            </w:pPr>
            <w:r>
              <w:rPr>
                <w:rFonts w:cs="Calibri" w:ascii="Calibri" w:hAnsi="Calibri"/>
                <w:bCs/>
                <w:i/>
              </w:rPr>
            </w:r>
          </w:p>
          <w:p>
            <w:pPr>
              <w:pStyle w:val="Normal"/>
              <w:widowControl w:val="false"/>
              <w:spacing w:before="0" w:after="0"/>
              <w:jc w:val="left"/>
              <w:rPr>
                <w:rFonts w:ascii="Calibri" w:hAnsi="Calibri" w:cs="Calibri"/>
                <w:bCs/>
                <w:i/>
                <w:i/>
              </w:rPr>
            </w:pPr>
            <w:r>
              <w:rPr>
                <w:rFonts w:cs="Calibri" w:ascii="Calibri" w:hAnsi="Calibri"/>
                <w:bCs/>
                <w:i/>
              </w:rPr>
            </w:r>
          </w:p>
          <w:p>
            <w:pPr>
              <w:pStyle w:val="Normal"/>
              <w:widowControl w:val="false"/>
              <w:spacing w:before="0" w:after="0"/>
              <w:jc w:val="left"/>
              <w:rPr>
                <w:rFonts w:ascii="Calibri" w:hAnsi="Calibri" w:cs="Calibri"/>
                <w:bCs/>
                <w:i/>
                <w:i/>
              </w:rPr>
            </w:pPr>
            <w:r>
              <w:rPr>
                <w:rFonts w:cs="Calibri" w:ascii="Calibri" w:hAnsi="Calibri"/>
                <w:bCs/>
                <w:i/>
              </w:rPr>
            </w:r>
          </w:p>
          <w:p>
            <w:pPr>
              <w:pStyle w:val="Normal"/>
              <w:widowControl w:val="false"/>
              <w:spacing w:before="0" w:after="0"/>
              <w:jc w:val="left"/>
              <w:rPr>
                <w:rFonts w:ascii="Calibri" w:hAnsi="Calibri" w:cs="Calibri"/>
                <w:bCs/>
                <w:i/>
                <w:i/>
              </w:rPr>
            </w:pPr>
            <w:r>
              <w:rPr>
                <w:rFonts w:cs="Calibri" w:ascii="Calibri" w:hAnsi="Calibri"/>
                <w:bCs/>
                <w:i/>
              </w:rPr>
            </w:r>
          </w:p>
          <w:p>
            <w:pPr>
              <w:pStyle w:val="Normal"/>
              <w:widowControl w:val="false"/>
              <w:spacing w:before="0" w:after="0"/>
              <w:jc w:val="left"/>
              <w:rPr>
                <w:rFonts w:ascii="Calibri" w:hAnsi="Calibri" w:cs="Calibri" w:asciiTheme="minorHAnsi" w:cstheme="minorHAnsi" w:hAnsiTheme="minorHAnsi"/>
                <w:b/>
                <w:b/>
                <w:color w:val="FF0000"/>
              </w:rPr>
            </w:pPr>
            <w:r>
              <w:rPr>
                <w:rFonts w:cs="Calibri" w:ascii="Calibri" w:hAnsi="Calibri"/>
                <w:bCs/>
                <w:i/>
                <w:lang w:eastAsia="en-IE" w:bidi="ar-SA"/>
              </w:rPr>
              <w:t>It is important that you have registered for such modules at NUI Galway. College offices can advise on these procedures.</w:t>
            </w:r>
          </w:p>
        </w:tc>
      </w:tr>
    </w:tbl>
    <w:p>
      <w:pPr>
        <w:pStyle w:val="Normal"/>
        <w:rPr>
          <w:rFonts w:ascii="Calibri" w:hAnsi="Calibri" w:cs="Calibri" w:asciiTheme="minorHAnsi" w:cstheme="minorHAnsi" w:hAnsiTheme="minorHAnsi"/>
          <w:b/>
          <w:b/>
          <w:color w:val="FF0000"/>
        </w:rPr>
      </w:pPr>
      <w:r>
        <w:rPr>
          <w:rFonts w:cs="Calibri" w:cstheme="minorHAnsi" w:ascii="Calibri" w:hAnsi="Calibri"/>
          <w:b/>
          <w:color w:val="FF0000"/>
        </w:rPr>
      </w:r>
    </w:p>
    <w:tbl>
      <w:tblPr>
        <w:tblStyle w:val="TableGrid"/>
        <w:tblW w:w="8789" w:type="dxa"/>
        <w:jc w:val="left"/>
        <w:tblInd w:w="250" w:type="dxa"/>
        <w:tblLayout w:type="fixed"/>
        <w:tblCellMar>
          <w:top w:w="0" w:type="dxa"/>
          <w:left w:w="108" w:type="dxa"/>
          <w:bottom w:w="0" w:type="dxa"/>
          <w:right w:w="108" w:type="dxa"/>
        </w:tblCellMar>
        <w:tblLook w:val="04a0" w:noHBand="0" w:noVBand="1" w:firstColumn="1" w:lastRow="0" w:lastColumn="0" w:firstRow="1"/>
      </w:tblPr>
      <w:tblGrid>
        <w:gridCol w:w="8789"/>
      </w:tblGrid>
      <w:tr>
        <w:trPr/>
        <w:tc>
          <w:tcPr>
            <w:tcW w:w="8789" w:type="dxa"/>
            <w:tcBorders/>
          </w:tcPr>
          <w:p>
            <w:pPr>
              <w:pStyle w:val="Normal"/>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lang w:eastAsia="en-IE" w:bidi="ar-SA"/>
              </w:rPr>
              <w:t>Have you completed the minimum number of taught modules required in your structured research programme?</w:t>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lang w:eastAsia="en-IE" w:bidi="ar-SA"/>
              </w:rPr>
              <w:t>If not, what modules do you plan to take next year?</w:t>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rPr>
            </w:pPr>
            <w:r>
              <w:rPr>
                <w:rFonts w:cs="Calibri" w:cstheme="minorHAnsi" w:ascii="Calibri" w:hAnsi="Calibri"/>
              </w:rPr>
            </w:r>
          </w:p>
          <w:p>
            <w:pPr>
              <w:pStyle w:val="Normal"/>
              <w:widowControl w:val="false"/>
              <w:spacing w:before="0" w:after="0"/>
              <w:jc w:val="left"/>
              <w:rPr>
                <w:rFonts w:ascii="Calibri" w:hAnsi="Calibri" w:cs="Calibri" w:asciiTheme="minorHAnsi" w:cstheme="minorHAnsi" w:hAnsiTheme="minorHAnsi"/>
                <w:i/>
                <w:i/>
              </w:rPr>
            </w:pPr>
            <w:r>
              <w:rPr>
                <w:rFonts w:cs="Calibri" w:ascii="Calibri" w:hAnsi="Calibri" w:asciiTheme="minorHAnsi" w:cstheme="minorHAnsi" w:hAnsiTheme="minorHAnsi"/>
                <w:i/>
                <w:lang w:eastAsia="en-IE" w:bidi="ar-SA"/>
              </w:rPr>
              <w:t>Module selection must be agreed with your supervisor.</w:t>
            </w:r>
          </w:p>
        </w:tc>
      </w:tr>
    </w:tbl>
    <w:p>
      <w:pPr>
        <w:pStyle w:val="Normal"/>
        <w:rPr>
          <w:rFonts w:ascii="Calibri" w:hAnsi="Calibri" w:cs="Calibri" w:asciiTheme="minorHAnsi" w:cstheme="minorHAnsi" w:hAnsiTheme="minorHAnsi"/>
          <w:color w:val="FF0000"/>
          <w:sz w:val="22"/>
          <w:szCs w:val="22"/>
        </w:rPr>
      </w:pPr>
      <w:r>
        <w:rPr>
          <w:rFonts w:cs="Calibri" w:cstheme="minorHAnsi" w:ascii="Calibri" w:hAnsi="Calibri"/>
          <w:color w:val="FF0000"/>
          <w:sz w:val="22"/>
          <w:szCs w:val="22"/>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Please attach to this report:</w:t>
      </w:r>
    </w:p>
    <w:p>
      <w:pPr>
        <w:pStyle w:val="Normal"/>
        <w:numPr>
          <w:ilvl w:val="0"/>
          <w:numId w:val="1"/>
        </w:numPr>
        <w:rPr>
          <w:rFonts w:ascii="Calibri" w:hAnsi="Calibri" w:cs="Calibri" w:asciiTheme="minorHAnsi" w:cstheme="minorHAnsi" w:hAnsiTheme="minorHAnsi"/>
          <w:kern w:val="2"/>
        </w:rPr>
      </w:pPr>
      <w:r>
        <w:rPr>
          <w:rFonts w:cs="Calibri" w:ascii="Calibri" w:hAnsi="Calibri" w:asciiTheme="minorHAnsi" w:cstheme="minorHAnsi" w:hAnsiTheme="minorHAnsi"/>
          <w:kern w:val="2"/>
        </w:rPr>
        <w:t xml:space="preserve">Your registration statement for this academic year indicating the modules for which you have registered (available from </w:t>
      </w:r>
      <w:hyperlink r:id="rId3">
        <w:r>
          <w:rPr>
            <w:rStyle w:val="InternetLink"/>
            <w:rFonts w:cs="Calibri" w:ascii="Calibri" w:hAnsi="Calibri" w:asciiTheme="minorHAnsi" w:cstheme="minorHAnsi" w:hAnsiTheme="minorHAnsi"/>
            <w:kern w:val="2"/>
          </w:rPr>
          <w:t>http://www.nuigalway.ie/registration/</w:t>
        </w:r>
      </w:hyperlink>
      <w:r>
        <w:rPr>
          <w:rFonts w:ascii="Calibri" w:hAnsi="Calibri" w:asciiTheme="minorHAnsi" w:hAnsiTheme="minorHAnsi"/>
        </w:rPr>
        <w:t>) and</w:t>
      </w:r>
    </w:p>
    <w:p>
      <w:pPr>
        <w:pStyle w:val="Normal"/>
        <w:numPr>
          <w:ilvl w:val="0"/>
          <w:numId w:val="1"/>
        </w:numPr>
        <w:rPr>
          <w:rFonts w:ascii="Calibri" w:hAnsi="Calibri" w:cs="Calibri" w:asciiTheme="minorHAnsi" w:cstheme="minorHAnsi" w:hAnsiTheme="minorHAnsi"/>
          <w:b/>
          <w:b/>
          <w:kern w:val="2"/>
          <w:u w:val="single"/>
        </w:rPr>
      </w:pPr>
      <w:r>
        <w:rPr>
          <w:rFonts w:cs="Calibri" w:ascii="Calibri" w:hAnsi="Calibri" w:asciiTheme="minorHAnsi" w:cstheme="minorHAnsi" w:hAnsiTheme="minorHAnsi"/>
          <w:kern w:val="2"/>
        </w:rPr>
        <w:t>For students in year 2 and later, copies of transcripts for earlier years of your research programme indicating the modules you have completed successfully (available from the Examinations Office).</w:t>
      </w:r>
    </w:p>
    <w:p>
      <w:pPr>
        <w:pStyle w:val="Normal"/>
        <w:ind w:left="360" w:hanging="0"/>
        <w:rPr>
          <w:rFonts w:ascii="Calibri" w:hAnsi="Calibri" w:cs="Calibri" w:asciiTheme="minorHAnsi" w:cstheme="minorHAnsi" w:hAnsiTheme="minorHAnsi"/>
          <w:b/>
          <w:b/>
          <w:kern w:val="2"/>
          <w:u w:val="single"/>
        </w:rPr>
      </w:pPr>
      <w:r>
        <w:rPr>
          <w:rFonts w:cs="Calibri" w:cstheme="minorHAnsi" w:ascii="Calibri" w:hAnsi="Calibri"/>
          <w:b/>
          <w:kern w:val="2"/>
          <w:u w:val="single"/>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tbl>
      <w:tblPr>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39"/>
      </w:tblGrid>
      <w:tr>
        <w:trPr>
          <w:trHeight w:val="674" w:hRule="atLeast"/>
        </w:trPr>
        <w:tc>
          <w:tcPr>
            <w:tcW w:w="90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Student’s signature:</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tc>
      </w:tr>
    </w:tbl>
    <w:p>
      <w:pPr>
        <w:pStyle w:val="Normal"/>
        <w:rPr>
          <w:rFonts w:ascii="Calibri" w:hAnsi="Calibri" w:cs="Calibri" w:asciiTheme="minorHAnsi" w:cstheme="minorHAnsi" w:hAnsiTheme="minorHAnsi"/>
          <w:b/>
          <w:b/>
          <w:color w:val="FF0000"/>
        </w:rPr>
      </w:pPr>
      <w:r>
        <w:rPr>
          <w:rFonts w:cs="Calibri" w:cstheme="minorHAnsi" w:ascii="Calibri" w:hAnsi="Calibri"/>
          <w:b/>
          <w:color w:val="FF0000"/>
        </w:rPr>
      </w:r>
    </w:p>
    <w:tbl>
      <w:tblPr>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39"/>
      </w:tblGrid>
      <w:tr>
        <w:trPr>
          <w:trHeight w:val="674" w:hRule="atLeast"/>
        </w:trPr>
        <w:tc>
          <w:tcPr>
            <w:tcW w:w="90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120" w:after="120"/>
              <w:rPr>
                <w:rFonts w:ascii="Calibri" w:hAnsi="Calibri" w:cs="Calibri" w:asciiTheme="minorHAnsi" w:cstheme="minorHAnsi" w:hAnsiTheme="minorHAnsi"/>
              </w:rPr>
            </w:pPr>
            <w:r>
              <w:rPr>
                <w:rFonts w:cs="Calibri" w:ascii="Calibri" w:hAnsi="Calibri" w:asciiTheme="minorHAnsi" w:cstheme="minorHAnsi" w:hAnsiTheme="minorHAnsi"/>
                <w:b/>
                <w:sz w:val="22"/>
                <w:szCs w:val="22"/>
              </w:rPr>
              <w:t>Date:</w:t>
            </w:r>
          </w:p>
          <w:p>
            <w:pPr>
              <w:pStyle w:val="Normal"/>
              <w:widowControl w:val="false"/>
              <w:rPr>
                <w:rFonts w:ascii="Calibri" w:hAnsi="Calibri" w:cs="Calibri" w:asciiTheme="minorHAnsi" w:cstheme="minorHAnsi" w:hAnsiTheme="minorHAnsi"/>
              </w:rPr>
            </w:pPr>
            <w:r>
              <w:rPr>
                <w:rFonts w:cs="Calibri" w:cstheme="minorHAnsi" w:ascii="Calibri" w:hAnsi="Calibri"/>
              </w:rPr>
            </w:r>
          </w:p>
        </w:tc>
      </w:tr>
    </w:tbl>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cstheme="minorHAnsi" w:ascii="Calibri" w:hAnsi="Calibri"/>
          <w:b/>
        </w:rPr>
      </w:r>
    </w:p>
    <w:p>
      <w:pPr>
        <w:pStyle w:val="Normal"/>
        <w:ind w:left="-142" w:hanging="0"/>
        <w:rPr>
          <w:rFonts w:ascii="Calibri" w:hAnsi="Calibri" w:cs="Calibri" w:asciiTheme="minorHAnsi" w:cstheme="minorHAnsi" w:hAnsiTheme="minorHAnsi"/>
          <w:b/>
          <w:b/>
        </w:rPr>
      </w:pPr>
      <w:r>
        <w:rPr>
          <w:rFonts w:cs="Calibri" w:ascii="Calibri" w:hAnsi="Calibri" w:asciiTheme="minorHAnsi" w:cstheme="minorHAnsi" w:hAnsiTheme="minorHAnsi"/>
          <w:b/>
        </w:rPr>
        <w:t>University Guidelines for Research Degree Programmes</w:t>
      </w:r>
    </w:p>
    <w:p>
      <w:pPr>
        <w:pStyle w:val="Normal"/>
        <w:widowControl/>
        <w:suppressAutoHyphens w:val="false"/>
        <w:ind w:left="-142" w:right="-199" w:hanging="0"/>
        <w:rPr>
          <w:rFonts w:ascii="Calibri" w:hAnsi="Calibri" w:cs="Calibri" w:asciiTheme="minorHAnsi" w:cstheme="minorHAnsi" w:hAnsiTheme="minorHAnsi"/>
        </w:rPr>
      </w:pPr>
      <w:hyperlink r:id="rId4">
        <w:r>
          <w:rPr>
            <w:rStyle w:val="InternetLink"/>
            <w:rFonts w:cs="Calibri" w:ascii="Calibri" w:hAnsi="Calibri" w:asciiTheme="minorHAnsi" w:cstheme="minorHAnsi" w:hAnsiTheme="minorHAnsi"/>
            <w:sz w:val="18"/>
            <w:szCs w:val="18"/>
          </w:rPr>
          <w:t>http://www.nuigalway.ie/graduatestudies/documents/university_guidelines_for_research_degree_programmes.pdf</w:t>
        </w:r>
      </w:hyperlink>
    </w:p>
    <w:sectPr>
      <w:headerReference w:type="default" r:id="rId5"/>
      <w:footerReference w:type="default" r:id="rId6"/>
      <w:type w:val="nextPage"/>
      <w:pgSz w:w="11906" w:h="16838"/>
      <w:pgMar w:left="1800" w:right="1800" w:gutter="0" w:header="708" w:top="765"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817728338"/>
    </w:sdtPr>
    <w:sdtContent>
      <w:p>
        <w:pPr>
          <w:pStyle w:val="Footer"/>
          <w:jc w:val="center"/>
          <w:rPr>
            <w:rFonts w:ascii="Calibri" w:hAnsi="Calibri" w:cs="Calibri" w:asciiTheme="minorHAnsi" w:cstheme="minorHAnsi" w:hAnsiTheme="minorHAnsi"/>
            <w:sz w:val="18"/>
            <w:szCs w:val="18"/>
          </w:rPr>
        </w:pPr>
        <w:r>
          <w:rPr>
            <w:rFonts w:cs="Calibri" w:ascii="Calibri" w:hAnsi="Calibri" w:asciiTheme="minorHAnsi" w:cstheme="minorHAnsi" w:hAnsiTheme="minorHAnsi"/>
            <w:sz w:val="18"/>
            <w:szCs w:val="18"/>
          </w:rPr>
          <w:t xml:space="preserve">Page </w:t>
        </w:r>
        <w:r>
          <w:rPr>
            <w:rFonts w:cs="Calibri" w:ascii="Calibri" w:hAnsi="Calibri"/>
            <w:bCs/>
            <w:sz w:val="18"/>
            <w:szCs w:val="18"/>
          </w:rPr>
          <w:fldChar w:fldCharType="begin"/>
        </w:r>
        <w:r>
          <w:rPr>
            <w:sz w:val="18"/>
            <w:szCs w:val="18"/>
            <w:bCs/>
            <w:rFonts w:cs="Calibri" w:ascii="Calibri" w:hAnsi="Calibri"/>
          </w:rPr>
          <w:instrText xml:space="preserve"> PAGE </w:instrText>
        </w:r>
        <w:r>
          <w:rPr>
            <w:sz w:val="18"/>
            <w:szCs w:val="18"/>
            <w:bCs/>
            <w:rFonts w:cs="Calibri" w:ascii="Calibri" w:hAnsi="Calibri"/>
          </w:rPr>
          <w:fldChar w:fldCharType="separate"/>
        </w:r>
        <w:r>
          <w:rPr>
            <w:sz w:val="18"/>
            <w:szCs w:val="18"/>
            <w:bCs/>
            <w:rFonts w:cs="Calibri" w:ascii="Calibri" w:hAnsi="Calibri"/>
          </w:rPr>
          <w:t>9</w:t>
        </w:r>
        <w:r>
          <w:rPr>
            <w:sz w:val="18"/>
            <w:szCs w:val="18"/>
            <w:bCs/>
            <w:rFonts w:cs="Calibri" w:ascii="Calibri" w:hAnsi="Calibri"/>
          </w:rPr>
          <w:fldChar w:fldCharType="end"/>
        </w:r>
        <w:r>
          <w:rPr>
            <w:rFonts w:cs="Calibri" w:ascii="Calibri" w:hAnsi="Calibri" w:asciiTheme="minorHAnsi" w:cstheme="minorHAnsi" w:hAnsiTheme="minorHAnsi"/>
            <w:sz w:val="18"/>
            <w:szCs w:val="18"/>
          </w:rPr>
          <w:t xml:space="preserve"> of </w:t>
        </w:r>
        <w:r>
          <w:rPr>
            <w:rFonts w:cs="Calibri" w:ascii="Calibri" w:hAnsi="Calibri"/>
            <w:bCs/>
            <w:sz w:val="18"/>
            <w:szCs w:val="18"/>
          </w:rPr>
          <w:fldChar w:fldCharType="begin"/>
        </w:r>
        <w:r>
          <w:rPr>
            <w:sz w:val="18"/>
            <w:szCs w:val="18"/>
            <w:bCs/>
            <w:rFonts w:cs="Calibri" w:ascii="Calibri" w:hAnsi="Calibri"/>
          </w:rPr>
          <w:instrText xml:space="preserve"> NUMPAGES </w:instrText>
        </w:r>
        <w:r>
          <w:rPr>
            <w:sz w:val="18"/>
            <w:szCs w:val="18"/>
            <w:bCs/>
            <w:rFonts w:cs="Calibri" w:ascii="Calibri" w:hAnsi="Calibri"/>
          </w:rPr>
          <w:fldChar w:fldCharType="separate"/>
        </w:r>
        <w:r>
          <w:rPr>
            <w:sz w:val="18"/>
            <w:szCs w:val="18"/>
            <w:bCs/>
            <w:rFonts w:cs="Calibri" w:ascii="Calibri" w:hAnsi="Calibri"/>
          </w:rPr>
          <w:t>9</w:t>
        </w:r>
        <w:r>
          <w:rPr>
            <w:sz w:val="18"/>
            <w:szCs w:val="18"/>
            <w:bCs/>
            <w:rFonts w:cs="Calibri" w:ascii="Calibri" w:hAnsi="Calibri"/>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Calibri" w:hAnsi="Calibri" w:cs="Calibri" w:asciiTheme="minorHAnsi" w:cstheme="minorHAnsi" w:hAnsiTheme="minorHAnsi"/>
        <w:b/>
        <w:b/>
      </w:rPr>
    </w:pPr>
    <w:r>
      <w:rPr>
        <w:rFonts w:cs="Calibri" w:ascii="Calibri" w:hAnsi="Calibri" w:asciiTheme="minorHAnsi" w:cstheme="minorHAnsi" w:hAnsiTheme="minorHAnsi"/>
        <w:b/>
      </w:rPr>
      <w:t>GS 030</w:t>
    </w:r>
  </w:p>
  <w:p>
    <w:pPr>
      <w:pStyle w:val="Header"/>
      <w:jc w:val="right"/>
      <w:rPr>
        <w:b/>
        <w:b/>
        <w:sz w:val="16"/>
        <w:szCs w:val="16"/>
      </w:rPr>
    </w:pPr>
    <w:r>
      <w:rPr>
        <w:b/>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i w:val="false"/>
        <w:b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2c0243"/>
    <w:pPr>
      <w:widowControl w:val="false"/>
      <w:suppressAutoHyphens w:val="true"/>
      <w:bidi w:val="0"/>
      <w:spacing w:before="0" w:after="0"/>
      <w:jc w:val="left"/>
    </w:pPr>
    <w:rPr>
      <w:rFonts w:ascii="Times New Roman" w:hAnsi="Times New Roman" w:eastAsia="Lucida Sans Unicode" w:cs="Times New Roman"/>
      <w:color w:val="auto"/>
      <w:kern w:val="2"/>
      <w:sz w:val="24"/>
      <w:szCs w:val="24"/>
      <w:lang w:val="en-GB" w:eastAsia="en-IE" w:bidi="ar-SA"/>
    </w:rPr>
  </w:style>
  <w:style w:type="character" w:styleId="DefaultParagraphFont" w:default="1">
    <w:name w:val="Default Paragraph Font"/>
    <w:uiPriority w:val="1"/>
    <w:semiHidden/>
    <w:unhideWhenUsed/>
    <w:qFormat/>
    <w:rPr/>
  </w:style>
  <w:style w:type="character" w:styleId="FooterChar" w:customStyle="1">
    <w:name w:val="Footer Char"/>
    <w:link w:val="Footer"/>
    <w:uiPriority w:val="99"/>
    <w:qFormat/>
    <w:rsid w:val="00a74ea8"/>
    <w:rPr>
      <w:rFonts w:eastAsia="Lucida Sans Unicode"/>
      <w:kern w:val="2"/>
      <w:sz w:val="24"/>
      <w:szCs w:val="24"/>
      <w:lang w:val="en-GB"/>
    </w:rPr>
  </w:style>
  <w:style w:type="character" w:styleId="BalloonTextChar" w:customStyle="1">
    <w:name w:val="Balloon Text Char"/>
    <w:link w:val="BalloonText"/>
    <w:qFormat/>
    <w:rsid w:val="00a74ea8"/>
    <w:rPr>
      <w:rFonts w:ascii="Tahoma" w:hAnsi="Tahoma" w:eastAsia="Lucida Sans Unicode" w:cs="Tahoma"/>
      <w:kern w:val="2"/>
      <w:sz w:val="16"/>
      <w:szCs w:val="16"/>
      <w:lang w:val="en-GB"/>
    </w:rPr>
  </w:style>
  <w:style w:type="character" w:styleId="InternetLink">
    <w:name w:val="Hyperlink"/>
    <w:rsid w:val="00a74ea8"/>
    <w:rPr>
      <w:color w:val="0000FF"/>
      <w:u w:val="single"/>
    </w:rPr>
  </w:style>
  <w:style w:type="character" w:styleId="HeaderChar" w:customStyle="1">
    <w:name w:val="Header Char"/>
    <w:basedOn w:val="DefaultParagraphFont"/>
    <w:link w:val="Header"/>
    <w:uiPriority w:val="99"/>
    <w:qFormat/>
    <w:rsid w:val="00c45b3e"/>
    <w:rPr>
      <w:rFonts w:eastAsia="Lucida Sans Unicode"/>
      <w:kern w:val="2"/>
      <w:sz w:val="24"/>
      <w:szCs w:val="24"/>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766b18"/>
    <w:pPr>
      <w:suppressLineNumbers/>
      <w:tabs>
        <w:tab w:val="clear" w:pos="720"/>
        <w:tab w:val="center" w:pos="4818" w:leader="none"/>
        <w:tab w:val="right" w:pos="9637" w:leader="none"/>
      </w:tabs>
    </w:pPr>
    <w:rPr/>
  </w:style>
  <w:style w:type="paragraph" w:styleId="Footer">
    <w:name w:val="Footer"/>
    <w:basedOn w:val="Normal"/>
    <w:link w:val="FooterChar"/>
    <w:uiPriority w:val="99"/>
    <w:rsid w:val="00a74ea8"/>
    <w:pPr>
      <w:tabs>
        <w:tab w:val="clear" w:pos="720"/>
        <w:tab w:val="center" w:pos="4513" w:leader="none"/>
        <w:tab w:val="right" w:pos="9026" w:leader="none"/>
      </w:tabs>
    </w:pPr>
    <w:rPr/>
  </w:style>
  <w:style w:type="paragraph" w:styleId="BalloonText">
    <w:name w:val="Balloon Text"/>
    <w:basedOn w:val="Normal"/>
    <w:link w:val="BalloonTextChar"/>
    <w:qFormat/>
    <w:rsid w:val="00a74ea8"/>
    <w:pPr/>
    <w:rPr>
      <w:rFonts w:ascii="Tahoma" w:hAnsi="Tahoma" w:cs="Tahoma"/>
      <w:sz w:val="16"/>
      <w:szCs w:val="16"/>
    </w:rPr>
  </w:style>
  <w:style w:type="paragraph" w:styleId="NoSpacing">
    <w:name w:val="No Spacing"/>
    <w:uiPriority w:val="1"/>
    <w:qFormat/>
    <w:rsid w:val="00931632"/>
    <w:pPr>
      <w:widowControl w:val="false"/>
      <w:suppressAutoHyphens w:val="true"/>
      <w:bidi w:val="0"/>
      <w:spacing w:before="0" w:after="0"/>
      <w:jc w:val="left"/>
    </w:pPr>
    <w:rPr>
      <w:rFonts w:ascii="Times New Roman" w:hAnsi="Times New Roman" w:eastAsia="Lucida Sans Unicode" w:cs="Times New Roman"/>
      <w:color w:val="auto"/>
      <w:kern w:val="2"/>
      <w:sz w:val="24"/>
      <w:szCs w:val="24"/>
      <w:lang w:val="en-GB" w:eastAsia="en-IE" w:bidi="ar-SA"/>
    </w:rPr>
  </w:style>
  <w:style w:type="paragraph" w:styleId="ListParagraph">
    <w:name w:val="List Paragraph"/>
    <w:basedOn w:val="Normal"/>
    <w:uiPriority w:val="34"/>
    <w:qFormat/>
    <w:rsid w:val="00101903"/>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c02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uigalway.ie/graduatestudies/module_table.html" TargetMode="External"/><Relationship Id="rId3" Type="http://schemas.openxmlformats.org/officeDocument/2006/relationships/hyperlink" Target="http://www.nuigalway.ie/registration/" TargetMode="External"/><Relationship Id="rId4" Type="http://schemas.openxmlformats.org/officeDocument/2006/relationships/hyperlink" Target="http://www.nuigalway.ie/graduatestudies/documents/university_guidelines_for_research_degree_programmes.pdf"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C757AF-5453-45D8-9DC3-CDFBEE321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9</Pages>
  <Words>1826</Words>
  <Characters>10188</Characters>
  <CharactersWithSpaces>11910</CharactersWithSpaces>
  <Paragraphs>118</Paragraphs>
  <Company>NUI, Galway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2014-02-19T09:35:00Z</dcterms:created>
  <dc:creator>0107431s</dc:creator>
  <dc:description/>
  <dc:language>en-IE</dc:language>
  <cp:lastModifiedBy/>
  <cp:lastPrinted>2014-02-03T13:23:00Z</cp:lastPrinted>
  <dcterms:modified xsi:type="dcterms:W3CDTF">2023-04-28T15:12:17Z</dcterms:modified>
  <cp:revision>3</cp:revision>
  <dc:subject/>
  <dc:title>Declaration by full-time Research Student Form for employment in the University</dc:title>
</cp:coreProperties>
</file>

<file path=docProps/custom.xml><?xml version="1.0" encoding="utf-8"?>
<Properties xmlns="http://schemas.openxmlformats.org/officeDocument/2006/custom-properties" xmlns:vt="http://schemas.openxmlformats.org/officeDocument/2006/docPropsVTypes"/>
</file>