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r>
    </w:p>
    <w:p>
      <w:pPr>
        <w:spacing w:after="80" w:before="0"/>
        <w:jc w:val="center"/>
      </w:pPr>
      <w:r>
        <w:rPr>
          <w:rFonts w:ascii="Arial" w:cs="Arial" w:eastAsia="Arial" w:hAnsi="Arial"/>
          <w:b/>
          <w:bCs/>
          <w:color w:val="003087"/>
          <w:sz w:val="72"/>
          <w:szCs w:val="72"/>
        </w:rPr>
        <w:t xml:space="preserve">GRDF</w:t>
      </w:r>
    </w:p>
    <w:p>
      <w:pPr>
        <w:pBdr>
          <w:bottom w:val="single" w:color="F5A623" w:sz="12" w:space="4"/>
        </w:pBdr>
        <w:spacing w:after="300" w:before="0"/>
        <w:jc w:val="center"/>
      </w:pPr>
      <w:r>
        <w:rPr>
          <w:rFonts w:ascii="Arial" w:cs="Arial" w:eastAsia="Arial" w:hAnsi="Arial"/>
          <w:color w:val="0055A4"/>
          <w:sz w:val="28"/>
          <w:szCs w:val="28"/>
        </w:rPr>
        <w:t xml:space="preserve">Gaz Réseau Distribution France</w:t>
      </w:r>
    </w:p>
    <w:p>
      <w:pPr>
        <w:shd w:fill="003087" w:val="clear"/>
        <w:spacing w:after="120" w:before="300"/>
        <w:jc w:val="center"/>
      </w:pPr>
      <w:r>
        <w:rPr>
          <w:rFonts w:ascii="Arial" w:cs="Arial" w:eastAsia="Arial" w:hAnsi="Arial"/>
          <w:b/>
          <w:bCs/>
          <w:color w:val="FFFFFF"/>
          <w:sz w:val="36"/>
          <w:szCs w:val="36"/>
        </w:rPr>
        <w:t xml:space="preserve">PROCÉDURE TECHNIQUE DE SÉCURITÉ</w:t>
      </w:r>
    </w:p>
    <w:p>
      <w:pPr>
        <w:spacing w:after="600" w:before="80"/>
        <w:jc w:val="center"/>
      </w:pPr>
      <w:r>
        <w:rPr>
          <w:rFonts w:ascii="Arial" w:cs="Arial" w:eastAsia="Arial" w:hAnsi="Arial"/>
          <w:b/>
          <w:bCs/>
          <w:color w:val="003087"/>
          <w:sz w:val="44"/>
          <w:szCs w:val="44"/>
        </w:rPr>
        <w:t xml:space="preserve">Consignation et Déconsignation</w:t>
      </w:r>
    </w:p>
    <w:p>
      <w:pPr>
        <w:spacing w:after="800" w:before="0"/>
        <w:jc w:val="center"/>
      </w:pPr>
      <w:r>
        <w:rPr>
          <w:rFonts w:ascii="Arial" w:cs="Arial" w:eastAsia="Arial" w:hAnsi="Arial"/>
          <w:color w:val="0055A4"/>
          <w:sz w:val="32"/>
          <w:szCs w:val="32"/>
        </w:rPr>
        <w:t xml:space="preserve">Vannes de Sectionnement Gaz Naturel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Référence document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GRDF-PTS-CDSV-001</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Version</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 — Avril 2025</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Statut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2E7D32"/>
                <w:sz w:val="20"/>
                <w:szCs w:val="20"/>
              </w:rPr>
              <w:t xml:space="preserve">APPROUVÉ — En vigueur</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Classification</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Usage interne — Diffusion restreinte</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003087"/>
                <w:sz w:val="20"/>
                <w:szCs w:val="20"/>
              </w:rPr>
              <w:t xml:space="preserve">Service émetteur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Direction Technique &amp; Sécurité des Réseaux</w:t>
            </w:r>
          </w:p>
        </w:tc>
      </w:tr>
    </w:tbl>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1. Domaine d'application</w:t>
      </w:r>
    </w:p>
    <w:p>
      <w:pPr>
        <w:spacing w:after="80" w:before="160"/>
      </w:pPr>
      <w:r>
        <w:t xml:space="preserve"/>
      </w:r>
    </w:p>
    <w:p>
      <w:pPr>
        <w:spacing w:after="60" w:before="60"/>
      </w:pPr>
      <w:r>
        <w:rPr>
          <w:rFonts w:ascii="Arial" w:cs="Arial" w:eastAsia="Arial" w:hAnsi="Arial"/>
          <w:sz w:val="22"/>
          <w:szCs w:val="22"/>
        </w:rPr>
        <w:t xml:space="preserve">La présente procédure s'applique à l'ensemble des opérations de consignation et de déconsignation des vannes de sectionnement installées sur les réseaux de distribution de gaz naturel exploités par GRDF. Elle est obligatoire pour toute intervention de maintenance, d'inspection, de contrôle ou de modification sur des équipements situés en amont ou en aval d'une vanne de sectionnement.</w:t>
      </w:r>
    </w:p>
    <w:p>
      <w:pPr>
        <w:spacing w:after="80" w:before="160"/>
      </w:pPr>
      <w:r>
        <w:t xml:space="preserve"/>
      </w:r>
    </w:p>
    <w:p>
      <w:pPr>
        <w:spacing w:after="60" w:before="60"/>
      </w:pPr>
      <w:r>
        <w:rPr>
          <w:rFonts w:ascii="Arial" w:cs="Arial" w:eastAsia="Arial" w:hAnsi="Arial"/>
          <w:sz w:val="22"/>
          <w:szCs w:val="22"/>
        </w:rPr>
        <w:t xml:space="preserve">Cette procédure s'applique sans exception à toutes les agences GRDF et prestataires agréés intervenant sur les réseaux. Toute dérogation doit faire l'objet d'une demande écrite auprès de la Direction Technique et être validée avant le début des travaux.</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1.1 Types de vannes concernées</w:t>
      </w:r>
    </w:p>
    <w:p>
      <w:pPr>
        <w:spacing w:after="60" w:before="60"/>
      </w:pPr>
      <w:r>
        <w:rPr>
          <w:rFonts w:ascii="Arial" w:cs="Arial" w:eastAsia="Arial" w:hAnsi="Arial"/>
          <w:sz w:val="22"/>
          <w:szCs w:val="22"/>
        </w:rPr>
        <w:t xml:space="preserve">La présente procédure couvre les catégories d'équipements suivantes :</w:t>
      </w:r>
    </w:p>
    <w:p>
      <w:pPr>
        <w:pStyle w:val="ListParagraph"/>
        <w:numPr>
          <w:ilvl w:val="0"/>
          <w:numId w:val="2"/>
        </w:numPr>
        <w:spacing w:after="40" w:before="40"/>
      </w:pPr>
      <w:r>
        <w:rPr>
          <w:rFonts w:ascii="Arial" w:cs="Arial" w:eastAsia="Arial" w:hAnsi="Arial"/>
          <w:b w:val="false"/>
          <w:bCs w:val="false"/>
          <w:sz w:val="22"/>
          <w:szCs w:val="22"/>
        </w:rPr>
        <w:t xml:space="preserve">Vannes à boisseau sphérique DN50 à DN400 — pression nominale PN40 à PN100</w:t>
      </w:r>
    </w:p>
    <w:p>
      <w:pPr>
        <w:pStyle w:val="ListParagraph"/>
        <w:numPr>
          <w:ilvl w:val="0"/>
          <w:numId w:val="2"/>
        </w:numPr>
        <w:spacing w:after="40" w:before="40"/>
      </w:pPr>
      <w:r>
        <w:rPr>
          <w:rFonts w:ascii="Arial" w:cs="Arial" w:eastAsia="Arial" w:hAnsi="Arial"/>
          <w:b w:val="false"/>
          <w:bCs w:val="false"/>
          <w:sz w:val="22"/>
          <w:szCs w:val="22"/>
        </w:rPr>
        <w:t xml:space="preserve">Vannes à opercule sur lignes de service (distribution secondaire)</w:t>
      </w:r>
    </w:p>
    <w:p>
      <w:pPr>
        <w:pStyle w:val="ListParagraph"/>
        <w:numPr>
          <w:ilvl w:val="0"/>
          <w:numId w:val="2"/>
        </w:numPr>
        <w:spacing w:after="40" w:before="40"/>
      </w:pPr>
      <w:r>
        <w:rPr>
          <w:rFonts w:ascii="Arial" w:cs="Arial" w:eastAsia="Arial" w:hAnsi="Arial"/>
          <w:b w:val="false"/>
          <w:bCs w:val="false"/>
          <w:sz w:val="22"/>
          <w:szCs w:val="22"/>
        </w:rPr>
        <w:t xml:space="preserve">Vannes de purge et d'évent associées aux lignes principales et secondaires</w:t>
      </w:r>
    </w:p>
    <w:p>
      <w:pPr>
        <w:pStyle w:val="ListParagraph"/>
        <w:numPr>
          <w:ilvl w:val="0"/>
          <w:numId w:val="2"/>
        </w:numPr>
        <w:spacing w:after="40" w:before="40"/>
      </w:pPr>
      <w:r>
        <w:rPr>
          <w:rFonts w:ascii="Arial" w:cs="Arial" w:eastAsia="Arial" w:hAnsi="Arial"/>
          <w:b w:val="false"/>
          <w:bCs w:val="false"/>
          <w:sz w:val="22"/>
          <w:szCs w:val="22"/>
        </w:rPr>
        <w:t xml:space="preserve">Vannes de by-pass et de régulation sur postes de détente</w:t>
      </w:r>
    </w:p>
    <w:p>
      <w:pPr>
        <w:pStyle w:val="ListParagraph"/>
        <w:numPr>
          <w:ilvl w:val="0"/>
          <w:numId w:val="2"/>
        </w:numPr>
        <w:spacing w:after="40" w:before="40"/>
      </w:pPr>
      <w:r>
        <w:rPr>
          <w:rFonts w:ascii="Arial" w:cs="Arial" w:eastAsia="Arial" w:hAnsi="Arial"/>
          <w:b w:val="false"/>
          <w:bCs w:val="false"/>
          <w:sz w:val="22"/>
          <w:szCs w:val="22"/>
        </w:rPr>
        <w:t xml:space="preserve">Vannes télécommandées (actionneurs pneumatiques ou électriques)</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1.2 Exclusions</w:t>
      </w:r>
    </w:p>
    <w:p>
      <w:pPr>
        <w:spacing w:after="60" w:before="60"/>
      </w:pPr>
      <w:r>
        <w:rPr>
          <w:rFonts w:ascii="Arial" w:cs="Arial" w:eastAsia="Arial" w:hAnsi="Arial"/>
          <w:sz w:val="22"/>
          <w:szCs w:val="22"/>
        </w:rPr>
        <w:t xml:space="preserve">Les équipements suivants ne sont pas couverts par cette procédure et font l'objet de procédures spécifiques :</w:t>
      </w:r>
    </w:p>
    <w:p>
      <w:pPr>
        <w:pStyle w:val="ListParagraph"/>
        <w:numPr>
          <w:ilvl w:val="0"/>
          <w:numId w:val="2"/>
        </w:numPr>
        <w:spacing w:after="40" w:before="40"/>
      </w:pPr>
      <w:r>
        <w:rPr>
          <w:rFonts w:ascii="Arial" w:cs="Arial" w:eastAsia="Arial" w:hAnsi="Arial"/>
          <w:b w:val="false"/>
          <w:bCs w:val="false"/>
          <w:sz w:val="22"/>
          <w:szCs w:val="22"/>
        </w:rPr>
        <w:t xml:space="preserve">Régulateurs de pression de poste (procédure PR-REG-001)</w:t>
      </w:r>
    </w:p>
    <w:p>
      <w:pPr>
        <w:pStyle w:val="ListParagraph"/>
        <w:numPr>
          <w:ilvl w:val="0"/>
          <w:numId w:val="2"/>
        </w:numPr>
        <w:spacing w:after="40" w:before="40"/>
      </w:pPr>
      <w:r>
        <w:rPr>
          <w:rFonts w:ascii="Arial" w:cs="Arial" w:eastAsia="Arial" w:hAnsi="Arial"/>
          <w:b w:val="false"/>
          <w:bCs w:val="false"/>
          <w:sz w:val="22"/>
          <w:szCs w:val="22"/>
        </w:rPr>
        <w:t xml:space="preserve">Compteurs et organes de mesure (procédure PR-MES-002)</w:t>
      </w:r>
    </w:p>
    <w:p>
      <w:pPr>
        <w:pStyle w:val="ListParagraph"/>
        <w:numPr>
          <w:ilvl w:val="0"/>
          <w:numId w:val="2"/>
        </w:numPr>
        <w:spacing w:after="40" w:before="40"/>
      </w:pPr>
      <w:r>
        <w:rPr>
          <w:rFonts w:ascii="Arial" w:cs="Arial" w:eastAsia="Arial" w:hAnsi="Arial"/>
          <w:b w:val="false"/>
          <w:bCs w:val="false"/>
          <w:sz w:val="22"/>
          <w:szCs w:val="22"/>
        </w:rPr>
        <w:t xml:space="preserve">Installations client (réseau après point de livraison)</w:t>
      </w:r>
    </w:p>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2. Références réglementaires et normatives</w:t>
      </w:r>
    </w:p>
    <w:p>
      <w:pPr>
        <w:spacing w:after="80" w:before="160"/>
      </w:pPr>
      <w:r>
        <w:t xml:space="preserve"/>
      </w:r>
    </w:p>
    <w:p>
      <w:pPr>
        <w:spacing w:after="60" w:before="60"/>
      </w:pPr>
      <w:r>
        <w:rPr>
          <w:rFonts w:ascii="Arial" w:cs="Arial" w:eastAsia="Arial" w:hAnsi="Arial"/>
          <w:sz w:val="22"/>
          <w:szCs w:val="22"/>
        </w:rPr>
        <w:t xml:space="preserve">Les interventions sur les installations de distribution de gaz naturel sont encadrées par un corpus réglementaire et normatif strict. Toute intervention doit être réalisée dans le strict respect des textes suivants :</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c>
          <w:tcPr>
            <w:tcW w:type="dxa" w:w="5026"/>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Intitulé</w:t>
            </w:r>
          </w:p>
        </w:tc>
        <w:tc>
          <w:tcPr>
            <w:tcW w:type="dxa" w:w="20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Applicabilité</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Arrêté 05/03/2014</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Règles techniques applicables aux canalisations de transport de gaz naturel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Obligatoire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EN 13480</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Tuyauteries industrielles en métal — Prescriptions de sécurité</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Obligatoire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 1776</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Systèmes d'alimentation en gaz — Postes de compression de gaz naturel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Applicable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ISO 23552</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Équipements de contrôle et de régulation pour brûleurs gaz</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Référence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ATEX 2014/34/UE</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Équipements destinés à être utilisés en atmosphères explosibles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Obligatoire zones EX</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Décret 2012-615</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Santé et sécurité au travail dans les entreprises de réseau</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Obligatoire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SMS GRDF v4.1</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Système de Management de la Sécurité interne GRDF</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Obligatoire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Procédure PR-HSE-001</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Plan de prévention — Travaux en zones à risques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Obligatoire</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0055A4" w:sz="1"/>
              <w:left w:val="single" w:color="0055A4" w:sz="1"/>
              <w:bottom w:val="single" w:color="0055A4" w:sz="1"/>
              <w:right w:val="single" w:color="0055A4" w:sz="1"/>
            </w:tcBorders>
            <w:shd w:fill="0055A4" w:val="clear"/>
            <w:tcMar>
              <w:top w:type="dxa" w:w="120"/>
              <w:left w:type="dxa" w:w="120"/>
              <w:bottom w:type="dxa" w:w="120"/>
              <w:right w:type="dxa" w:w="120"/>
            </w:tcMar>
            <w:vAlign w:val="center"/>
          </w:tcPr>
          <w:p>
            <w:pPr>
              <w:jc w:val="center"/>
            </w:pPr>
            <w:r>
              <w:rPr>
                <w:rFonts w:ascii="Arial" w:cs="Arial" w:eastAsia="Arial" w:hAnsi="Arial"/>
                <w:color w:val="FFFFFF"/>
                <w:sz w:val="32"/>
                <w:szCs w:val="32"/>
              </w:rPr>
              <w:t xml:space="preserve">ℹ</w:t>
            </w:r>
          </w:p>
        </w:tc>
        <w:tc>
          <w:tcPr>
            <w:tcW w:type="dxa" w:w="8326"/>
            <w:tcBorders>
              <w:top w:val="single" w:color="0055A4" w:sz="1"/>
              <w:left w:val="single" w:color="0055A4" w:sz="1"/>
              <w:bottom w:val="single" w:color="0055A4" w:sz="1"/>
              <w:right w:val="single" w:color="0055A4" w:sz="1"/>
            </w:tcBorders>
            <w:shd w:fill="D6E4F0" w:val="clear"/>
            <w:tcMar>
              <w:top w:type="dxa" w:w="100"/>
              <w:left w:type="dxa" w:w="160"/>
              <w:bottom w:type="dxa" w:w="100"/>
              <w:right w:type="dxa" w:w="120"/>
            </w:tcMar>
          </w:tcPr>
          <w:p>
            <w:r>
              <w:rPr>
                <w:rFonts w:ascii="Arial" w:cs="Arial" w:eastAsia="Arial" w:hAnsi="Arial"/>
                <w:b/>
                <w:bCs/>
                <w:color w:val="003087"/>
                <w:sz w:val="22"/>
                <w:szCs w:val="22"/>
              </w:rPr>
              <w:t xml:space="preserve">Note réglementaire</w:t>
            </w:r>
          </w:p>
          <w:p>
            <w:r>
              <w:rPr>
                <w:rFonts w:ascii="Arial" w:cs="Arial" w:eastAsia="Arial" w:hAnsi="Arial"/>
                <w:sz w:val="20"/>
                <w:szCs w:val="20"/>
              </w:rPr>
              <w:t xml:space="preserve">En cas de contradiction entre les textes listés ci-dessus, la réglementation nationale prime sur les normes européennes, et les normes européennes priment sur les normes internes GRDF. Tout doute doit être soumis au Responsable Technique d'Exploitation (RTE).</w:t>
            </w:r>
          </w:p>
        </w:tc>
      </w:tr>
    </w:tbl>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3. Définitions et abréviations</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3.1 Définitions</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30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026"/>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Consignation</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Ensemble des opérations séquentielles et documentées visant à mettre une installation dans un état sûr, en neutralisant toutes ses sources d'énergie (mécanique, électrique, pneumatique, thermique) pour permettre une intervention en sécurité.</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Déconsignation</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Opérations inverses de la consignation, permettant de remettre progressivement et de manière contrôlée l'installation en service après vérification de son intégrité.</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Cadenassage (LOTO)</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Lock-Out / Tag-Out : procédure de verrouillage physique par cadenas personnel et étiquetage des organes de coupure, interdisant toute manœuvre non autorisée.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Chargé de Consignation (CC)</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Technicien habilité GRDF, responsable de l'exécution des étapes de consignation/déconsignation. Il est le seul habilité à retirer les cadenas.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Chargé de Travaux (CT)</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Responsable de l'exécution des travaux sur l'installation consignée. Il reçoit l'attestation de consignation du CC avant tout début d'intervention.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Attestation de consignation</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Document signé par le CC, remis au CT, certifiant que l'installation est hors énergie et que les travaux peuvent commencer en sécurité.</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Zone ATEX</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Atmosphère EXplosible : zone où la présence de gaz inflammable est susceptible de créer un risque d'explosion. Classification : Zone 0, 1 ou 2 selon la fréquence d'apparition.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Permis de feu</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Autorisation écrite préalable obligatoire pour tout travail générant des points chauds (soudage, meulage, etc.) à proximité d'équipements gaz.</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Vanne NC / NO</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Vanne Normalement Fermée (NC) : fermée en position de repos. Vanne Normalement Ouverte (NO) : ouverte en position de repos.</w:t>
            </w:r>
          </w:p>
        </w:tc>
      </w:tr>
    </w:tbl>
    <w:p>
      <w:pPr>
        <w:spacing w:after="80" w:before="160"/>
      </w:pPr>
      <w:r>
        <w:t xml:space="preserve"/>
      </w:r>
    </w:p>
    <w:p>
      <w:pPr>
        <w:pStyle w:val="Heading2"/>
        <w:spacing w:after="80" w:before="240"/>
      </w:pPr>
      <w:r>
        <w:rPr>
          <w:rFonts w:ascii="Arial" w:cs="Arial" w:eastAsia="Arial" w:hAnsi="Arial"/>
          <w:b/>
          <w:bCs/>
          <w:color w:val="0055A4"/>
          <w:sz w:val="24"/>
          <w:szCs w:val="24"/>
        </w:rPr>
        <w:t xml:space="preserve">3.2 Abréviations</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30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Abréviation</w:t>
            </w:r>
          </w:p>
        </w:tc>
        <w:tc>
          <w:tcPr>
            <w:tcW w:type="dxa" w:w="6026"/>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CC</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Chargé de Consignation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CT</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Chargé de Travaux</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RTE</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Responsable Technique d'Exploitation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EPI</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Équipements de Protection Individuelle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ATEX</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ATmosphère EXplosible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DN</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Diamètre Nominal (en mm)</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PN</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Pression Nominale (en bar)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LOTO</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Lock-Out / Tag-Out (cadenassage/étiquetage)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SMS</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Système de Management de la Sécurité</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GED</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Gestion Électronique des Documents (système GRDF)</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Permis de Travail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MES</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Mise En Service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bl>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4. Responsabilités et habilitations</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4.1 Matrice des responsabilités</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400"/>
        <w:gridCol w:w="1326"/>
      </w:tblGrid>
      <w:tr>
        <w:trPr>
          <w:tblHeader/>
        </w:trPr>
        <w:tc>
          <w:tcPr>
            <w:tcW w:type="dxa" w:w="35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Responsabilité / Action</w:t>
            </w:r>
          </w:p>
        </w:tc>
        <w:tc>
          <w:tcPr>
            <w:tcW w:type="dxa" w:w="1400"/>
            <w:tcBorders>
              <w:top w:val="single" w:color="0055A4" w:sz="1"/>
              <w:left w:val="single" w:color="0055A4" w:sz="1"/>
              <w:bottom w:val="single" w:color="0055A4" w:sz="1"/>
              <w:right w:val="single" w:color="0055A4" w:sz="1"/>
            </w:tcBorders>
            <w:shd w:fill="0055A4" w:val="clear"/>
            <w:tcMar>
              <w:top w:type="dxa" w:w="80"/>
              <w:left w:type="dxa" w:w="60"/>
              <w:bottom w:type="dxa" w:w="80"/>
              <w:right w:type="dxa" w:w="60"/>
            </w:tcMar>
          </w:tcPr>
          <w:p>
            <w:pPr>
              <w:jc w:val="center"/>
            </w:pPr>
            <w:r>
              <w:rPr>
                <w:rFonts w:ascii="Arial" w:cs="Arial" w:eastAsia="Arial" w:hAnsi="Arial"/>
                <w:b/>
                <w:bCs/>
                <w:color w:val="FFFFFF"/>
                <w:sz w:val="20"/>
                <w:szCs w:val="20"/>
              </w:rPr>
              <w:t xml:space="preserve">CC</w:t>
            </w:r>
          </w:p>
        </w:tc>
        <w:tc>
          <w:tcPr>
            <w:tcW w:type="dxa" w:w="1400"/>
            <w:tcBorders>
              <w:top w:val="single" w:color="0055A4" w:sz="1"/>
              <w:left w:val="single" w:color="0055A4" w:sz="1"/>
              <w:bottom w:val="single" w:color="0055A4" w:sz="1"/>
              <w:right w:val="single" w:color="0055A4" w:sz="1"/>
            </w:tcBorders>
            <w:shd w:fill="0055A4" w:val="clear"/>
            <w:tcMar>
              <w:top w:type="dxa" w:w="80"/>
              <w:left w:type="dxa" w:w="60"/>
              <w:bottom w:type="dxa" w:w="80"/>
              <w:right w:type="dxa" w:w="60"/>
            </w:tcMar>
          </w:tcPr>
          <w:p>
            <w:pPr>
              <w:jc w:val="center"/>
            </w:pPr>
            <w:r>
              <w:rPr>
                <w:rFonts w:ascii="Arial" w:cs="Arial" w:eastAsia="Arial" w:hAnsi="Arial"/>
                <w:b/>
                <w:bCs/>
                <w:color w:val="FFFFFF"/>
                <w:sz w:val="20"/>
                <w:szCs w:val="20"/>
              </w:rPr>
              <w:t xml:space="preserve">CT</w:t>
            </w:r>
          </w:p>
        </w:tc>
        <w:tc>
          <w:tcPr>
            <w:tcW w:type="dxa" w:w="1400"/>
            <w:tcBorders>
              <w:top w:val="single" w:color="0055A4" w:sz="1"/>
              <w:left w:val="single" w:color="0055A4" w:sz="1"/>
              <w:bottom w:val="single" w:color="0055A4" w:sz="1"/>
              <w:right w:val="single" w:color="0055A4" w:sz="1"/>
            </w:tcBorders>
            <w:shd w:fill="0055A4" w:val="clear"/>
            <w:tcMar>
              <w:top w:type="dxa" w:w="80"/>
              <w:left w:type="dxa" w:w="60"/>
              <w:bottom w:type="dxa" w:w="80"/>
              <w:right w:type="dxa" w:w="60"/>
            </w:tcMar>
          </w:tcPr>
          <w:p>
            <w:pPr>
              <w:jc w:val="center"/>
            </w:pPr>
            <w:r>
              <w:rPr>
                <w:rFonts w:ascii="Arial" w:cs="Arial" w:eastAsia="Arial" w:hAnsi="Arial"/>
                <w:b/>
                <w:bCs/>
                <w:color w:val="FFFFFF"/>
                <w:sz w:val="20"/>
                <w:szCs w:val="20"/>
              </w:rPr>
              <w:t xml:space="preserve">RTE</w:t>
            </w:r>
          </w:p>
        </w:tc>
        <w:tc>
          <w:tcPr>
            <w:tcW w:type="dxa" w:w="1326"/>
            <w:tcBorders>
              <w:top w:val="single" w:color="0055A4" w:sz="1"/>
              <w:left w:val="single" w:color="0055A4" w:sz="1"/>
              <w:bottom w:val="single" w:color="0055A4" w:sz="1"/>
              <w:right w:val="single" w:color="0055A4" w:sz="1"/>
            </w:tcBorders>
            <w:shd w:fill="0055A4" w:val="clear"/>
            <w:tcMar>
              <w:top w:type="dxa" w:w="80"/>
              <w:left w:type="dxa" w:w="60"/>
              <w:bottom w:type="dxa" w:w="80"/>
              <w:right w:type="dxa" w:w="60"/>
            </w:tcMar>
          </w:tcPr>
          <w:p>
            <w:pPr>
              <w:jc w:val="center"/>
            </w:pPr>
            <w:r>
              <w:rPr>
                <w:rFonts w:ascii="Arial" w:cs="Arial" w:eastAsia="Arial" w:hAnsi="Arial"/>
                <w:b/>
                <w:bCs/>
                <w:color w:val="FFFFFF"/>
                <w:sz w:val="20"/>
                <w:szCs w:val="20"/>
              </w:rPr>
              <w:t xml:space="preserve">Opér.</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Validation du permis de travail</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bCs/>
                <w:color w:val="003087"/>
                <w:sz w:val="20"/>
                <w:szCs w:val="20"/>
              </w:rPr>
              <w:t xml:space="preserv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C</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C0392B"/>
                <w:sz w:val="20"/>
                <w:szCs w:val="20"/>
              </w:rPr>
              <w:t xml:space="preserve">A</w:t>
            </w:r>
          </w:p>
        </w:tc>
        <w:tc>
          <w:tcPr>
            <w:tcW w:type="dxa" w:w="1326"/>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Exécution de la consignation</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bCs/>
                <w:color w:val="003087"/>
                <w:sz w:val="20"/>
                <w:szCs w:val="20"/>
              </w:rPr>
              <w:t xml:space="preserve">R</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c>
          <w:tcPr>
            <w:tcW w:type="dxa" w:w="1326"/>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C0392B"/>
                <w:sz w:val="20"/>
                <w:szCs w:val="20"/>
              </w:rPr>
              <w:t xml:space="preserve">A</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Remise de l'attestation de consignation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bCs/>
                <w:color w:val="003087"/>
                <w:sz w:val="20"/>
                <w:szCs w:val="20"/>
              </w:rPr>
              <w:t xml:space="preserv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C</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w:t>
            </w:r>
          </w:p>
        </w:tc>
        <w:tc>
          <w:tcPr>
            <w:tcW w:type="dxa" w:w="1326"/>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Exécution des travaux</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bCs/>
                <w:color w:val="003087"/>
                <w:sz w:val="20"/>
                <w:szCs w:val="20"/>
              </w:rPr>
              <w:t xml:space="preserve">R</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c>
          <w:tcPr>
            <w:tcW w:type="dxa" w:w="1326"/>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C0392B"/>
                <w:sz w:val="20"/>
                <w:szCs w:val="20"/>
              </w:rPr>
              <w:t xml:space="preserve">A</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Vérification avant déconsignation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bCs/>
                <w:color w:val="003087"/>
                <w:sz w:val="20"/>
                <w:szCs w:val="20"/>
              </w:rPr>
              <w:t xml:space="preserv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C</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c>
          <w:tcPr>
            <w:tcW w:type="dxa" w:w="1326"/>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C0392B"/>
                <w:sz w:val="20"/>
                <w:szCs w:val="20"/>
              </w:rPr>
              <w:t xml:space="preserve">A</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Déconsignation et remise en service</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bCs/>
                <w:color w:val="003087"/>
                <w:sz w:val="20"/>
                <w:szCs w:val="20"/>
              </w:rPr>
              <w:t xml:space="preserve">R</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c>
          <w:tcPr>
            <w:tcW w:type="dxa" w:w="1400"/>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C</w:t>
            </w:r>
          </w:p>
        </w:tc>
        <w:tc>
          <w:tcPr>
            <w:tcW w:type="dxa" w:w="1326"/>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Archivage documentaire</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C</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C</w:t>
            </w:r>
          </w:p>
        </w:tc>
        <w:tc>
          <w:tcPr>
            <w:tcW w:type="dxa" w:w="1400"/>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C0392B"/>
                <w:sz w:val="20"/>
                <w:szCs w:val="20"/>
              </w:rPr>
              <w:t xml:space="preserve">A</w:t>
            </w:r>
          </w:p>
        </w:tc>
        <w:tc>
          <w:tcPr>
            <w:tcW w:type="dxa" w:w="1326"/>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b w:val="false"/>
                <w:bCs w:val="false"/>
                <w:color w:val="333333"/>
                <w:sz w:val="20"/>
                <w:szCs w:val="20"/>
              </w:rPr>
              <w:t xml:space="preserve">I</w:t>
            </w:r>
          </w:p>
        </w:tc>
      </w:tr>
    </w:tbl>
    <w:p>
      <w:pPr>
        <w:spacing w:after="80" w:before="160"/>
      </w:pPr>
      <w:r>
        <w:t xml:space="preserve"/>
      </w:r>
    </w:p>
    <w:p>
      <w:pPr>
        <w:spacing w:after="60" w:before="60"/>
      </w:pPr>
      <w:r>
        <w:rPr>
          <w:rFonts w:ascii="Arial" w:cs="Arial" w:eastAsia="Arial" w:hAnsi="Arial"/>
          <w:i/>
          <w:iCs/>
          <w:color w:val="666666"/>
          <w:sz w:val="22"/>
          <w:szCs w:val="22"/>
        </w:rPr>
        <w:t xml:space="preserve">R = Responsable | A = Approbateur | C = Consulté | I = Informé</w:t>
      </w:r>
    </w:p>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5. Procédure de consignation</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color w:val="FFFFFF"/>
                <w:sz w:val="32"/>
                <w:szCs w:val="32"/>
              </w:rPr>
              <w:t xml:space="preserve">⚠</w:t>
            </w:r>
          </w:p>
        </w:tc>
        <w:tc>
          <w:tcPr>
            <w:tcW w:type="dxa" w:w="8326"/>
            <w:tcBorders>
              <w:top w:val="single" w:color="C0392B" w:sz="1"/>
              <w:left w:val="single" w:color="C0392B" w:sz="1"/>
              <w:bottom w:val="single" w:color="C0392B" w:sz="1"/>
              <w:right w:val="single" w:color="C0392B" w:sz="1"/>
            </w:tcBorders>
            <w:shd w:fill="FDEDED" w:val="clear"/>
            <w:tcMar>
              <w:top w:type="dxa" w:w="100"/>
              <w:left w:type="dxa" w:w="160"/>
              <w:bottom w:type="dxa" w:w="100"/>
              <w:right w:type="dxa" w:w="120"/>
            </w:tcMar>
          </w:tcPr>
          <w:p>
            <w:r>
              <w:rPr>
                <w:rFonts w:ascii="Arial" w:cs="Arial" w:eastAsia="Arial" w:hAnsi="Arial"/>
                <w:b/>
                <w:bCs/>
                <w:color w:val="C0392B"/>
                <w:sz w:val="22"/>
                <w:szCs w:val="22"/>
              </w:rPr>
              <w:t xml:space="preserve">AVERTISSEMENT SÉCURITÉ CRITIQUE</w:t>
            </w:r>
          </w:p>
          <w:p>
            <w:r>
              <w:rPr>
                <w:rFonts w:ascii="Arial" w:cs="Arial" w:eastAsia="Arial" w:hAnsi="Arial"/>
                <w:sz w:val="20"/>
                <w:szCs w:val="20"/>
              </w:rPr>
              <w:t xml:space="preserve">Aucune intervention ne peut débuter sans la remise physique de l'attestation de consignation signée par le Chargé de Consignation au Chargé de Travaux. Toute violation de cette règle constitue une faute grave pouvant entraîner des sanctions disciplinaires et pénales.</w:t>
            </w:r>
          </w:p>
        </w:tc>
      </w:tr>
    </w:tbl>
    <w:p>
      <w:pPr>
        <w:spacing w:after="80" w:before="160"/>
      </w:pPr>
      <w:r>
        <w:t xml:space="preserve"/>
      </w:r>
    </w:p>
    <w:p>
      <w:pPr>
        <w:pStyle w:val="Heading2"/>
        <w:spacing w:after="80" w:before="240"/>
      </w:pPr>
      <w:r>
        <w:rPr>
          <w:rFonts w:ascii="Arial" w:cs="Arial" w:eastAsia="Arial" w:hAnsi="Arial"/>
          <w:b/>
          <w:bCs/>
          <w:color w:val="0055A4"/>
          <w:sz w:val="24"/>
          <w:szCs w:val="24"/>
        </w:rPr>
        <w:t xml:space="preserve">5.1 Conditions préalables</w:t>
      </w:r>
    </w:p>
    <w:p>
      <w:pPr>
        <w:spacing w:after="60" w:before="60"/>
      </w:pPr>
      <w:r>
        <w:rPr>
          <w:rFonts w:ascii="Arial" w:cs="Arial" w:eastAsia="Arial" w:hAnsi="Arial"/>
          <w:sz w:val="22"/>
          <w:szCs w:val="22"/>
        </w:rPr>
        <w:t xml:space="preserve">Avant d'engager la procédure de consignation, le Chargé de Consignation doit vérifier les conditions suivantes :</w:t>
      </w:r>
    </w:p>
    <w:p>
      <w:pPr>
        <w:pStyle w:val="ListParagraph"/>
        <w:numPr>
          <w:ilvl w:val="0"/>
          <w:numId w:val="2"/>
        </w:numPr>
        <w:spacing w:after="40" w:before="40"/>
      </w:pPr>
      <w:r>
        <w:rPr>
          <w:rFonts w:ascii="Arial" w:cs="Arial" w:eastAsia="Arial" w:hAnsi="Arial"/>
          <w:b w:val="false"/>
          <w:bCs w:val="false"/>
          <w:sz w:val="22"/>
          <w:szCs w:val="22"/>
        </w:rPr>
        <w:t xml:space="preserve">Le permis de travail (PT) est signé et en cours de validité</w:t>
      </w:r>
    </w:p>
    <w:p>
      <w:pPr>
        <w:pStyle w:val="ListParagraph"/>
        <w:numPr>
          <w:ilvl w:val="0"/>
          <w:numId w:val="2"/>
        </w:numPr>
        <w:spacing w:after="40" w:before="40"/>
      </w:pPr>
      <w:r>
        <w:rPr>
          <w:rFonts w:ascii="Arial" w:cs="Arial" w:eastAsia="Arial" w:hAnsi="Arial"/>
          <w:b w:val="false"/>
          <w:bCs w:val="false"/>
          <w:sz w:val="22"/>
          <w:szCs w:val="22"/>
        </w:rPr>
        <w:t xml:space="preserve">Le plan de prévention est établi et approuvé par le RTE</w:t>
      </w:r>
    </w:p>
    <w:p>
      <w:pPr>
        <w:pStyle w:val="ListParagraph"/>
        <w:numPr>
          <w:ilvl w:val="0"/>
          <w:numId w:val="2"/>
        </w:numPr>
        <w:spacing w:after="40" w:before="40"/>
      </w:pPr>
      <w:r>
        <w:rPr>
          <w:rFonts w:ascii="Arial" w:cs="Arial" w:eastAsia="Arial" w:hAnsi="Arial"/>
          <w:b w:val="false"/>
          <w:bCs w:val="false"/>
          <w:sz w:val="22"/>
          <w:szCs w:val="22"/>
        </w:rPr>
        <w:t xml:space="preserve">Le permis de feu est disponible si des travaux à chaud sont prévus</w:t>
      </w:r>
    </w:p>
    <w:p>
      <w:pPr>
        <w:pStyle w:val="ListParagraph"/>
        <w:numPr>
          <w:ilvl w:val="0"/>
          <w:numId w:val="2"/>
        </w:numPr>
        <w:spacing w:after="40" w:before="40"/>
      </w:pPr>
      <w:r>
        <w:rPr>
          <w:rFonts w:ascii="Arial" w:cs="Arial" w:eastAsia="Arial" w:hAnsi="Arial"/>
          <w:b w:val="false"/>
          <w:bCs w:val="false"/>
          <w:sz w:val="22"/>
          <w:szCs w:val="22"/>
        </w:rPr>
        <w:t xml:space="preserve">Les EPI adaptés aux risques gaz sont disponibles et en bon état (détecteur de gaz personnel, masque, gants anti-coupure, lunettes)</w:t>
      </w:r>
    </w:p>
    <w:p>
      <w:pPr>
        <w:pStyle w:val="ListParagraph"/>
        <w:numPr>
          <w:ilvl w:val="0"/>
          <w:numId w:val="2"/>
        </w:numPr>
        <w:spacing w:after="40" w:before="40"/>
      </w:pPr>
      <w:r>
        <w:rPr>
          <w:rFonts w:ascii="Arial" w:cs="Arial" w:eastAsia="Arial" w:hAnsi="Arial"/>
          <w:b w:val="false"/>
          <w:bCs w:val="false"/>
          <w:sz w:val="22"/>
          <w:szCs w:val="22"/>
        </w:rPr>
        <w:t xml:space="preserve">L'équipe de travaux a reçu le briefing sécurité sur le site</w:t>
      </w:r>
    </w:p>
    <w:p>
      <w:pPr>
        <w:pStyle w:val="ListParagraph"/>
        <w:numPr>
          <w:ilvl w:val="0"/>
          <w:numId w:val="2"/>
        </w:numPr>
        <w:spacing w:after="40" w:before="40"/>
      </w:pPr>
      <w:r>
        <w:rPr>
          <w:rFonts w:ascii="Arial" w:cs="Arial" w:eastAsia="Arial" w:hAnsi="Arial"/>
          <w:b w:val="false"/>
          <w:bCs w:val="false"/>
          <w:sz w:val="22"/>
          <w:szCs w:val="22"/>
        </w:rPr>
        <w:t xml:space="preserve">Les zones d'exclusion ont été balisées conformément au plan de prévention</w:t>
      </w:r>
    </w:p>
    <w:p>
      <w:pPr>
        <w:pStyle w:val="ListParagraph"/>
        <w:numPr>
          <w:ilvl w:val="0"/>
          <w:numId w:val="2"/>
        </w:numPr>
        <w:spacing w:after="40" w:before="40"/>
      </w:pPr>
      <w:r>
        <w:rPr>
          <w:rFonts w:ascii="Arial" w:cs="Arial" w:eastAsia="Arial" w:hAnsi="Arial"/>
          <w:b w:val="false"/>
          <w:bCs w:val="false"/>
          <w:sz w:val="22"/>
          <w:szCs w:val="22"/>
        </w:rPr>
        <w:t xml:space="preserve">Le numéro d'astreinte du RTE et du centre de crise GRDF sont disponibles</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5.2 Étapes de consignation — Séquence obligatoire</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0055A4" w:sz="1"/>
              <w:left w:val="single" w:color="0055A4" w:sz="1"/>
              <w:bottom w:val="single" w:color="0055A4" w:sz="1"/>
              <w:right w:val="single" w:color="0055A4" w:sz="1"/>
            </w:tcBorders>
            <w:shd w:fill="0055A4" w:val="clear"/>
            <w:tcMar>
              <w:top w:type="dxa" w:w="120"/>
              <w:left w:type="dxa" w:w="120"/>
              <w:bottom w:type="dxa" w:w="120"/>
              <w:right w:type="dxa" w:w="120"/>
            </w:tcMar>
            <w:vAlign w:val="center"/>
          </w:tcPr>
          <w:p>
            <w:pPr>
              <w:jc w:val="center"/>
            </w:pPr>
            <w:r>
              <w:rPr>
                <w:rFonts w:ascii="Arial" w:cs="Arial" w:eastAsia="Arial" w:hAnsi="Arial"/>
                <w:color w:val="FFFFFF"/>
                <w:sz w:val="32"/>
                <w:szCs w:val="32"/>
              </w:rPr>
              <w:t xml:space="preserve">ℹ</w:t>
            </w:r>
          </w:p>
        </w:tc>
        <w:tc>
          <w:tcPr>
            <w:tcW w:type="dxa" w:w="8326"/>
            <w:tcBorders>
              <w:top w:val="single" w:color="0055A4" w:sz="1"/>
              <w:left w:val="single" w:color="0055A4" w:sz="1"/>
              <w:bottom w:val="single" w:color="0055A4" w:sz="1"/>
              <w:right w:val="single" w:color="0055A4" w:sz="1"/>
            </w:tcBorders>
            <w:shd w:fill="D6E4F0" w:val="clear"/>
            <w:tcMar>
              <w:top w:type="dxa" w:w="100"/>
              <w:left w:type="dxa" w:w="160"/>
              <w:bottom w:type="dxa" w:w="100"/>
              <w:right w:type="dxa" w:w="120"/>
            </w:tcMar>
          </w:tcPr>
          <w:p>
            <w:r>
              <w:rPr>
                <w:rFonts w:ascii="Arial" w:cs="Arial" w:eastAsia="Arial" w:hAnsi="Arial"/>
                <w:b/>
                <w:bCs/>
                <w:color w:val="003087"/>
                <w:sz w:val="22"/>
                <w:szCs w:val="22"/>
              </w:rPr>
              <w:t xml:space="preserve">Respect de la séquence</w:t>
            </w:r>
          </w:p>
          <w:p>
            <w:r>
              <w:rPr>
                <w:rFonts w:ascii="Arial" w:cs="Arial" w:eastAsia="Arial" w:hAnsi="Arial"/>
                <w:sz w:val="20"/>
                <w:szCs w:val="20"/>
              </w:rPr>
              <w:t xml:space="preserve">Les étapes suivantes doivent être réalisées DANS L'ORDRE INDIQUÉ. Toute modification de séquence est interdite sans dérogation écrite du RTE.</w:t>
            </w:r>
          </w:p>
        </w:tc>
      </w:tr>
    </w:tbl>
    <w:p>
      <w:pPr>
        <w:spacing w:after="80" w:before="160"/>
      </w:pPr>
      <w:r>
        <w:t xml:space="preserve"/>
      </w:r>
    </w:p>
    <w:p>
      <w:pPr>
        <w:pStyle w:val="ListParagraph"/>
        <w:numPr>
          <w:ilvl w:val="0"/>
          <w:numId w:val="3"/>
        </w:numPr>
        <w:spacing w:after="60" w:before="60"/>
      </w:pPr>
      <w:r>
        <w:rPr>
          <w:rFonts w:ascii="Arial" w:cs="Arial" w:eastAsia="Arial" w:hAnsi="Arial"/>
          <w:sz w:val="22"/>
          <w:szCs w:val="22"/>
        </w:rPr>
        <w:t xml:space="preserve">IDENTIFICATION DE L'INSTALLATION : Identifier et localiser précisément la vanne à consigner à l'aide du plan réseau (GIS GRDF) et de la plaque signalétique. Vérifier la cohérence entre le plan et la réalité terrain. En cas de doute, contacter le RTE avant de procérir.</w:t>
      </w:r>
    </w:p>
    <w:p>
      <w:pPr>
        <w:pStyle w:val="ListParagraph"/>
        <w:numPr>
          <w:ilvl w:val="0"/>
          <w:numId w:val="3"/>
        </w:numPr>
        <w:spacing w:after="60" w:before="60"/>
      </w:pPr>
      <w:r>
        <w:rPr>
          <w:rFonts w:ascii="Arial" w:cs="Arial" w:eastAsia="Arial" w:hAnsi="Arial"/>
          <w:sz w:val="22"/>
          <w:szCs w:val="22"/>
        </w:rPr>
        <w:t xml:space="preserve">INFORMATION ET COORDINATION : Informer le dispatching GRDF et les éventuels clients alimentés en aval de la coupure programmée. Obtenir l'accord du RTE pour procéder à la consignation. Consigner l'heure de début d'opération dans le registre d'intervention.</w:t>
      </w:r>
    </w:p>
    <w:p>
      <w:pPr>
        <w:pStyle w:val="ListParagraph"/>
        <w:numPr>
          <w:ilvl w:val="0"/>
          <w:numId w:val="3"/>
        </w:numPr>
        <w:spacing w:after="60" w:before="60"/>
      </w:pPr>
      <w:r>
        <w:rPr>
          <w:rFonts w:ascii="Arial" w:cs="Arial" w:eastAsia="Arial" w:hAnsi="Arial"/>
          <w:sz w:val="22"/>
          <w:szCs w:val="22"/>
        </w:rPr>
        <w:t xml:space="preserve">FERMETURE DE LA VANNE PRINCIPALE : Manœuvrer la vanne de sectionnement en position fermée selon la procédure constructeur. Pour les actionneurs manuels : rotation quart de tour (boisseau sphérique) ou actionnement volant (opercule). Pour les actionneurs motorisés : commande depuis le coffret de commande local ou depuis le dispatching. Vérifier la position de fermeture via l'indicateur de position.</w:t>
      </w:r>
    </w:p>
    <w:p>
      <w:pPr>
        <w:pStyle w:val="ListParagraph"/>
        <w:numPr>
          <w:ilvl w:val="0"/>
          <w:numId w:val="3"/>
        </w:numPr>
        <w:spacing w:after="60" w:before="60"/>
      </w:pPr>
      <w:r>
        <w:rPr>
          <w:rFonts w:ascii="Arial" w:cs="Arial" w:eastAsia="Arial" w:hAnsi="Arial"/>
          <w:sz w:val="22"/>
          <w:szCs w:val="22"/>
        </w:rPr>
        <w:t xml:space="preserve">ISOLATION AMONT ET AVAL : Fermer successivement les vannes d'isolation amont puis aval pour créer une double barrière physique de confinement. En l'absence de vanne de by-pass, procéder à la purge avant isolation aval.</w:t>
      </w:r>
    </w:p>
    <w:p>
      <w:pPr>
        <w:pStyle w:val="ListParagraph"/>
        <w:numPr>
          <w:ilvl w:val="0"/>
          <w:numId w:val="3"/>
        </w:numPr>
        <w:spacing w:after="60" w:before="60"/>
      </w:pPr>
      <w:r>
        <w:rPr>
          <w:rFonts w:ascii="Arial" w:cs="Arial" w:eastAsia="Arial" w:hAnsi="Arial"/>
          <w:sz w:val="22"/>
          <w:szCs w:val="22"/>
        </w:rPr>
        <w:t xml:space="preserve">CADENASSAGE (LOTO) : Poser le cadenas personnel du CC sur chaque organe de coupure (vanne principale + vannes d'isolation) et y apposer l'étiquette LOTO réglementaire identifiée au nom du CC, à la date et à la nature des travaux. Vérifier que chaque cadenas est verrouillé.</w:t>
      </w:r>
    </w:p>
    <w:p>
      <w:pPr>
        <w:pStyle w:val="ListParagraph"/>
        <w:numPr>
          <w:ilvl w:val="0"/>
          <w:numId w:val="3"/>
        </w:numPr>
        <w:spacing w:after="60" w:before="60"/>
      </w:pPr>
      <w:r>
        <w:rPr>
          <w:rFonts w:ascii="Arial" w:cs="Arial" w:eastAsia="Arial" w:hAnsi="Arial"/>
          <w:sz w:val="22"/>
          <w:szCs w:val="22"/>
        </w:rPr>
        <w:t xml:space="preserve">MISE HORS SERVICE DE L'ACTIONNEUR : Couper l'alimentation pneumatique ou hydraulique de l'actionneur. Purger le circuit de commande. Bloquer mécaniquement le mécanisme de commande en position fermée (goupille de sécurité ou verrou mécanique selon le type d'actionneur).</w:t>
      </w:r>
    </w:p>
    <w:p>
      <w:pPr>
        <w:pStyle w:val="ListParagraph"/>
        <w:numPr>
          <w:ilvl w:val="0"/>
          <w:numId w:val="3"/>
        </w:numPr>
        <w:spacing w:after="60" w:before="60"/>
      </w:pPr>
      <w:r>
        <w:rPr>
          <w:rFonts w:ascii="Arial" w:cs="Arial" w:eastAsia="Arial" w:hAnsi="Arial"/>
          <w:sz w:val="22"/>
          <w:szCs w:val="22"/>
        </w:rPr>
        <w:t xml:space="preserve">DÉPRESSURISATION ET PURGE : Ouvrir progressivement la vanne de purge ou d'évent pour dépressuriser le volume isolé. Mesurer la pression résiduelle à l'aide du manomètre étalonné. Purger le tronçon avec de l'azote (N2) selon les besoins de l'intervention jusqu'à obtention d'une atmosphère non explosive (LEL &lt; 5 %).</w:t>
      </w:r>
    </w:p>
    <w:p>
      <w:pPr>
        <w:pStyle w:val="ListParagraph"/>
        <w:numPr>
          <w:ilvl w:val="0"/>
          <w:numId w:val="3"/>
        </w:numPr>
        <w:spacing w:after="60" w:before="60"/>
      </w:pPr>
      <w:r>
        <w:rPr>
          <w:rFonts w:ascii="Arial" w:cs="Arial" w:eastAsia="Arial" w:hAnsi="Arial"/>
          <w:sz w:val="22"/>
          <w:szCs w:val="22"/>
        </w:rPr>
        <w:t xml:space="preserve">VÉRIFICATION DE L'ABSENCE DE PRESSION ET DE GAZ : Mesurer la pression avec le manomètre de contrôle (pression résiduelle &lt; 10 mbar). Effectuer une détection gaz au niveau de toutes les zones d'intervention avec le détecteur portatif homologué ATEX. Résultat attendu : 0 % LEL. En cas de détection positive, ne pas poursuivre et contacter le RTE.</w:t>
      </w:r>
    </w:p>
    <w:p>
      <w:pPr>
        <w:pStyle w:val="ListParagraph"/>
        <w:numPr>
          <w:ilvl w:val="0"/>
          <w:numId w:val="3"/>
        </w:numPr>
        <w:spacing w:after="60" w:before="60"/>
      </w:pPr>
      <w:r>
        <w:rPr>
          <w:rFonts w:ascii="Arial" w:cs="Arial" w:eastAsia="Arial" w:hAnsi="Arial"/>
          <w:sz w:val="22"/>
          <w:szCs w:val="22"/>
        </w:rPr>
        <w:t xml:space="preserve">REMISE DE L'ATTESTATION DE CONSIGNATION : Le CC remplit, signe et remet en main propre l'attestation de consignation au CT. Cette attestation mentionne : l'identifiant de la vanne, l'heure de consignation, les résultats de mesure, les conditions d'intervention et les restrictions éventuelles.</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5.3 Vérification finale avant remise d'attestation</w:t>
      </w:r>
    </w:p>
    <w:p>
      <w:pPr>
        <w:spacing w:after="60" w:before="60"/>
      </w:pPr>
      <w:r>
        <w:rPr>
          <w:rFonts w:ascii="Arial" w:cs="Arial" w:eastAsia="Arial" w:hAnsi="Arial"/>
          <w:sz w:val="22"/>
          <w:szCs w:val="22"/>
        </w:rPr>
        <w:t xml:space="preserve">Le CC doit s'assurer des points suivants avant de signer l'attestation :</w:t>
      </w:r>
    </w:p>
    <w:p>
      <w:pPr>
        <w:pStyle w:val="ListParagraph"/>
        <w:numPr>
          <w:ilvl w:val="0"/>
          <w:numId w:val="2"/>
        </w:numPr>
        <w:spacing w:after="40" w:before="40"/>
      </w:pPr>
      <w:r>
        <w:rPr>
          <w:rFonts w:ascii="Arial" w:cs="Arial" w:eastAsia="Arial" w:hAnsi="Arial"/>
          <w:b w:val="false"/>
          <w:bCs w:val="false"/>
          <w:sz w:val="22"/>
          <w:szCs w:val="22"/>
        </w:rPr>
        <w:t xml:space="preserve">Tous les cadenas LOTO sont posés et verrouillés</w:t>
      </w:r>
    </w:p>
    <w:p>
      <w:pPr>
        <w:pStyle w:val="ListParagraph"/>
        <w:numPr>
          <w:ilvl w:val="0"/>
          <w:numId w:val="2"/>
        </w:numPr>
        <w:spacing w:after="40" w:before="40"/>
      </w:pPr>
      <w:r>
        <w:rPr>
          <w:rFonts w:ascii="Arial" w:cs="Arial" w:eastAsia="Arial" w:hAnsi="Arial"/>
          <w:b w:val="false"/>
          <w:bCs w:val="false"/>
          <w:sz w:val="22"/>
          <w:szCs w:val="22"/>
        </w:rPr>
        <w:t xml:space="preserve">La pression résiduelle est inférieure à 10 mbar</w:t>
      </w:r>
    </w:p>
    <w:p>
      <w:pPr>
        <w:pStyle w:val="ListParagraph"/>
        <w:numPr>
          <w:ilvl w:val="0"/>
          <w:numId w:val="2"/>
        </w:numPr>
        <w:spacing w:after="40" w:before="40"/>
      </w:pPr>
      <w:r>
        <w:rPr>
          <w:rFonts w:ascii="Arial" w:cs="Arial" w:eastAsia="Arial" w:hAnsi="Arial"/>
          <w:b w:val="false"/>
          <w:bCs w:val="false"/>
          <w:sz w:val="22"/>
          <w:szCs w:val="22"/>
        </w:rPr>
        <w:t xml:space="preserve">La teneur en gaz est égale à 0 % LEL</w:t>
      </w:r>
    </w:p>
    <w:p>
      <w:pPr>
        <w:pStyle w:val="ListParagraph"/>
        <w:numPr>
          <w:ilvl w:val="0"/>
          <w:numId w:val="2"/>
        </w:numPr>
        <w:spacing w:after="40" w:before="40"/>
      </w:pPr>
      <w:r>
        <w:rPr>
          <w:rFonts w:ascii="Arial" w:cs="Arial" w:eastAsia="Arial" w:hAnsi="Arial"/>
          <w:b w:val="false"/>
          <w:bCs w:val="false"/>
          <w:sz w:val="22"/>
          <w:szCs w:val="22"/>
        </w:rPr>
        <w:t xml:space="preserve">L'actionneur est mécaniquement bloqué</w:t>
      </w:r>
    </w:p>
    <w:p>
      <w:pPr>
        <w:pStyle w:val="ListParagraph"/>
        <w:numPr>
          <w:ilvl w:val="0"/>
          <w:numId w:val="2"/>
        </w:numPr>
        <w:spacing w:after="40" w:before="40"/>
      </w:pPr>
      <w:r>
        <w:rPr>
          <w:rFonts w:ascii="Arial" w:cs="Arial" w:eastAsia="Arial" w:hAnsi="Arial"/>
          <w:b w:val="false"/>
          <w:bCs w:val="false"/>
          <w:sz w:val="22"/>
          <w:szCs w:val="22"/>
        </w:rPr>
        <w:t xml:space="preserve">Le balisage de la zone est en place</w:t>
      </w:r>
    </w:p>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6. Procédure de déconsignation</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color w:val="FFFFFF"/>
                <w:sz w:val="32"/>
                <w:szCs w:val="32"/>
              </w:rPr>
              <w:t xml:space="preserve">⚠</w:t>
            </w:r>
          </w:p>
        </w:tc>
        <w:tc>
          <w:tcPr>
            <w:tcW w:type="dxa" w:w="8326"/>
            <w:tcBorders>
              <w:top w:val="single" w:color="C0392B" w:sz="1"/>
              <w:left w:val="single" w:color="C0392B" w:sz="1"/>
              <w:bottom w:val="single" w:color="C0392B" w:sz="1"/>
              <w:right w:val="single" w:color="C0392B" w:sz="1"/>
            </w:tcBorders>
            <w:shd w:fill="FDEDED" w:val="clear"/>
            <w:tcMar>
              <w:top w:type="dxa" w:w="100"/>
              <w:left w:type="dxa" w:w="160"/>
              <w:bottom w:type="dxa" w:w="100"/>
              <w:right w:type="dxa" w:w="120"/>
            </w:tcMar>
          </w:tcPr>
          <w:p>
            <w:r>
              <w:rPr>
                <w:rFonts w:ascii="Arial" w:cs="Arial" w:eastAsia="Arial" w:hAnsi="Arial"/>
                <w:b/>
                <w:bCs/>
                <w:color w:val="C0392B"/>
                <w:sz w:val="22"/>
                <w:szCs w:val="22"/>
              </w:rPr>
              <w:t xml:space="preserve">CONDITION PRÉALABLE IMPÉRATIVE</w:t>
            </w:r>
          </w:p>
          <w:p>
            <w:r>
              <w:rPr>
                <w:rFonts w:ascii="Arial" w:cs="Arial" w:eastAsia="Arial" w:hAnsi="Arial"/>
                <w:sz w:val="20"/>
                <w:szCs w:val="20"/>
              </w:rPr>
              <w:t xml:space="preserve">La déconsignation ne peut être initiée que sur ordre explicite du Chargé de Travaux, après confirmation que l'ensemble du personnel est écarté de la zone d'intervention et que tous les outils et matériels ont été retirés de l'installation.</w:t>
            </w:r>
          </w:p>
        </w:tc>
      </w:tr>
    </w:tbl>
    <w:p>
      <w:pPr>
        <w:spacing w:after="80" w:before="160"/>
      </w:pPr>
      <w:r>
        <w:t xml:space="preserve"/>
      </w:r>
    </w:p>
    <w:p>
      <w:pPr>
        <w:pStyle w:val="Heading2"/>
        <w:spacing w:after="80" w:before="240"/>
      </w:pPr>
      <w:r>
        <w:rPr>
          <w:rFonts w:ascii="Arial" w:cs="Arial" w:eastAsia="Arial" w:hAnsi="Arial"/>
          <w:b/>
          <w:bCs/>
          <w:color w:val="0055A4"/>
          <w:sz w:val="24"/>
          <w:szCs w:val="24"/>
        </w:rPr>
        <w:t xml:space="preserve">6.1 Vérifications avant déconsignation</w:t>
      </w:r>
    </w:p>
    <w:p>
      <w:pPr>
        <w:pStyle w:val="ListParagraph"/>
        <w:numPr>
          <w:ilvl w:val="0"/>
          <w:numId w:val="2"/>
        </w:numPr>
        <w:spacing w:after="40" w:before="40"/>
      </w:pPr>
      <w:r>
        <w:rPr>
          <w:rFonts w:ascii="Arial" w:cs="Arial" w:eastAsia="Arial" w:hAnsi="Arial"/>
          <w:b w:val="false"/>
          <w:bCs w:val="false"/>
          <w:sz w:val="22"/>
          <w:szCs w:val="22"/>
        </w:rPr>
        <w:t xml:space="preserve">Obtenir du CT la confirmation écrite de fin de travaux et de libération de la zone</w:t>
      </w:r>
    </w:p>
    <w:p>
      <w:pPr>
        <w:pStyle w:val="ListParagraph"/>
        <w:numPr>
          <w:ilvl w:val="0"/>
          <w:numId w:val="2"/>
        </w:numPr>
        <w:spacing w:after="40" w:before="40"/>
      </w:pPr>
      <w:r>
        <w:rPr>
          <w:rFonts w:ascii="Arial" w:cs="Arial" w:eastAsia="Arial" w:hAnsi="Arial"/>
          <w:b w:val="false"/>
          <w:bCs w:val="false"/>
          <w:sz w:val="22"/>
          <w:szCs w:val="22"/>
        </w:rPr>
        <w:t xml:space="preserve">Récupérer physiquement l'attestation de consignation signée en retour par le CT</w:t>
      </w:r>
    </w:p>
    <w:p>
      <w:pPr>
        <w:pStyle w:val="ListParagraph"/>
        <w:numPr>
          <w:ilvl w:val="0"/>
          <w:numId w:val="2"/>
        </w:numPr>
        <w:spacing w:after="40" w:before="40"/>
      </w:pPr>
      <w:r>
        <w:rPr>
          <w:rFonts w:ascii="Arial" w:cs="Arial" w:eastAsia="Arial" w:hAnsi="Arial"/>
          <w:b w:val="false"/>
          <w:bCs w:val="false"/>
          <w:sz w:val="22"/>
          <w:szCs w:val="22"/>
        </w:rPr>
        <w:t xml:space="preserve">Vérifier l'intégrité complète des joints et assemblages boulonnés (serrage au couple selon spécification constructeur)</w:t>
      </w:r>
    </w:p>
    <w:p>
      <w:pPr>
        <w:pStyle w:val="ListParagraph"/>
        <w:numPr>
          <w:ilvl w:val="0"/>
          <w:numId w:val="2"/>
        </w:numPr>
        <w:spacing w:after="40" w:before="40"/>
      </w:pPr>
      <w:r>
        <w:rPr>
          <w:rFonts w:ascii="Arial" w:cs="Arial" w:eastAsia="Arial" w:hAnsi="Arial"/>
          <w:b w:val="false"/>
          <w:bCs w:val="false"/>
          <w:sz w:val="22"/>
          <w:szCs w:val="22"/>
        </w:rPr>
        <w:t xml:space="preserve">Contrôler l'état visuel des raccordements, brides et soudures effectuées</w:t>
      </w:r>
    </w:p>
    <w:p>
      <w:pPr>
        <w:pStyle w:val="ListParagraph"/>
        <w:numPr>
          <w:ilvl w:val="0"/>
          <w:numId w:val="2"/>
        </w:numPr>
        <w:spacing w:after="40" w:before="40"/>
      </w:pPr>
      <w:r>
        <w:rPr>
          <w:rFonts w:ascii="Arial" w:cs="Arial" w:eastAsia="Arial" w:hAnsi="Arial"/>
          <w:b w:val="false"/>
          <w:bCs w:val="false"/>
          <w:sz w:val="22"/>
          <w:szCs w:val="22"/>
        </w:rPr>
        <w:t xml:space="preserve">S'assurer de l'absence de tout outil, matériel ou personne dans la zone d'exclusion</w:t>
      </w:r>
    </w:p>
    <w:p>
      <w:pPr>
        <w:pStyle w:val="ListParagraph"/>
        <w:numPr>
          <w:ilvl w:val="0"/>
          <w:numId w:val="2"/>
        </w:numPr>
        <w:spacing w:after="40" w:before="40"/>
      </w:pPr>
      <w:r>
        <w:rPr>
          <w:rFonts w:ascii="Arial" w:cs="Arial" w:eastAsia="Arial" w:hAnsi="Arial"/>
          <w:b w:val="false"/>
          <w:bCs w:val="false"/>
          <w:sz w:val="22"/>
          <w:szCs w:val="22"/>
        </w:rPr>
        <w:t xml:space="preserve">Vérifier la conformité des protections mécaniques et calorifugeage si applicable</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6.2 Étapes de déconsignation — Séquence obligatoire</w:t>
      </w:r>
    </w:p>
    <w:p>
      <w:pPr>
        <w:spacing w:after="80" w:before="160"/>
      </w:pPr>
      <w:r>
        <w:t xml:space="preserve"/>
      </w:r>
    </w:p>
    <w:p>
      <w:pPr>
        <w:pStyle w:val="ListParagraph"/>
        <w:numPr>
          <w:ilvl w:val="0"/>
          <w:numId w:val="3"/>
        </w:numPr>
        <w:spacing w:after="60" w:before="60"/>
      </w:pPr>
      <w:r>
        <w:rPr>
          <w:rFonts w:ascii="Arial" w:cs="Arial" w:eastAsia="Arial" w:hAnsi="Arial"/>
          <w:sz w:val="22"/>
          <w:szCs w:val="22"/>
        </w:rPr>
        <w:t xml:space="preserve">VÉRIFICATION DOCUMENTAIRE : S'assurer que le bon de fin de travaux est signé par le CT. Vérifier que tous les documents d'intervention (fiches de mesure, rapports de contrôle) sont renseignés.</w:t>
      </w:r>
    </w:p>
    <w:p>
      <w:pPr>
        <w:pStyle w:val="ListParagraph"/>
        <w:numPr>
          <w:ilvl w:val="0"/>
          <w:numId w:val="3"/>
        </w:numPr>
        <w:spacing w:after="60" w:before="60"/>
      </w:pPr>
      <w:r>
        <w:rPr>
          <w:rFonts w:ascii="Arial" w:cs="Arial" w:eastAsia="Arial" w:hAnsi="Arial"/>
          <w:sz w:val="22"/>
          <w:szCs w:val="22"/>
        </w:rPr>
        <w:t xml:space="preserve">TEST D'ÉTANCHÉITÉ PRÉLIMINAIRE : Avant toute remontée en pression, réaliser un test d'étanchéité à l'azote (N2) ou à l'air selon la procédure PT-ETAN-001. Pression de test : 1,1 x PN pendant 30 minutes minimum. Résultat acceptable : chute de pression &lt; 1 % de la pression de test.</w:t>
      </w:r>
    </w:p>
    <w:p>
      <w:pPr>
        <w:pStyle w:val="ListParagraph"/>
        <w:numPr>
          <w:ilvl w:val="0"/>
          <w:numId w:val="3"/>
        </w:numPr>
        <w:spacing w:after="60" w:before="60"/>
      </w:pPr>
      <w:r>
        <w:rPr>
          <w:rFonts w:ascii="Arial" w:cs="Arial" w:eastAsia="Arial" w:hAnsi="Arial"/>
          <w:sz w:val="22"/>
          <w:szCs w:val="22"/>
        </w:rPr>
        <w:t xml:space="preserve">RÉTABLISSEMENT DE L'ALIMENTATION DE L'ACTIONNEUR : Réinitialiser et rétablir l'alimentation pneumatique ou hydraulique de l'actionneur. Effectuer un test de manœuvre à vide (ouverture/fermeture complète) en s'assurant que la vanne répond correctement aux commandes. Vérifier le bon fonctionnement des fins de course et indicateurs de position.</w:t>
      </w:r>
    </w:p>
    <w:p>
      <w:pPr>
        <w:pStyle w:val="ListParagraph"/>
        <w:numPr>
          <w:ilvl w:val="0"/>
          <w:numId w:val="3"/>
        </w:numPr>
        <w:spacing w:after="60" w:before="60"/>
      </w:pPr>
      <w:r>
        <w:rPr>
          <w:rFonts w:ascii="Arial" w:cs="Arial" w:eastAsia="Arial" w:hAnsi="Arial"/>
          <w:sz w:val="22"/>
          <w:szCs w:val="22"/>
        </w:rPr>
        <w:t xml:space="preserve">RETRAIT DES CADENAS LOTO : Le CC retire ses cadenas personnels uniquement, dans l'ordre inverse de la pose (vanne aval, puis amont, puis vanne principale). Aucune autre personne ne peut retirer les cadenas du CC.</w:t>
      </w:r>
    </w:p>
    <w:p>
      <w:pPr>
        <w:pStyle w:val="ListParagraph"/>
        <w:numPr>
          <w:ilvl w:val="0"/>
          <w:numId w:val="3"/>
        </w:numPr>
        <w:spacing w:after="60" w:before="60"/>
      </w:pPr>
      <w:r>
        <w:rPr>
          <w:rFonts w:ascii="Arial" w:cs="Arial" w:eastAsia="Arial" w:hAnsi="Arial"/>
          <w:sz w:val="22"/>
          <w:szCs w:val="22"/>
        </w:rPr>
        <w:t xml:space="preserve">REMONTÉE EN PRESSION PROGRESSIVE : Ouvrir progressivement la vanne d'isolation amont (ouverture au quart de tour, attente 2 min, puis ouverture complète). Surveiller les manomètres de contrôle. Vérifier l'absence de fuite par détection gaz et test au produit moussant sur tous les assemblages démontés.</w:t>
      </w:r>
    </w:p>
    <w:p>
      <w:pPr>
        <w:pStyle w:val="ListParagraph"/>
        <w:numPr>
          <w:ilvl w:val="0"/>
          <w:numId w:val="3"/>
        </w:numPr>
        <w:spacing w:after="60" w:before="60"/>
      </w:pPr>
      <w:r>
        <w:rPr>
          <w:rFonts w:ascii="Arial" w:cs="Arial" w:eastAsia="Arial" w:hAnsi="Arial"/>
          <w:sz w:val="22"/>
          <w:szCs w:val="22"/>
        </w:rPr>
        <w:t xml:space="preserve">REMISE EN SERVICE DE LA VANNE PRINCIPALE : Manœuvrer la vanne principale en position ouverte. Vérifier la pression aval et la conformité avec les valeurs nominales de service. Confirmer l'alimentation en gaz des installations clientes si applicable.</w:t>
      </w:r>
    </w:p>
    <w:p>
      <w:pPr>
        <w:pStyle w:val="ListParagraph"/>
        <w:numPr>
          <w:ilvl w:val="0"/>
          <w:numId w:val="3"/>
        </w:numPr>
        <w:spacing w:after="60" w:before="60"/>
      </w:pPr>
      <w:r>
        <w:rPr>
          <w:rFonts w:ascii="Arial" w:cs="Arial" w:eastAsia="Arial" w:hAnsi="Arial"/>
          <w:sz w:val="22"/>
          <w:szCs w:val="22"/>
        </w:rPr>
        <w:t xml:space="preserve">CONTRÔLE FINAL ET CLÔTURE : Effectuer une tournée complète de contrôle du tronçon remis en service. Renseigner le registre d'intervention avec les valeurs mesurées, l'heure de fin de déconsignation et la signature du CC. Transmettre l'information de remise en service au dispatching GRDF.</w:t>
      </w:r>
    </w:p>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7. Équipements de protection individuelle (EPI)</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rPr>
          <w:tblHeader/>
        </w:trPr>
        <w:tc>
          <w:tcPr>
            <w:tcW w:type="dxa" w:w="20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EPI</w:t>
            </w:r>
          </w:p>
        </w:tc>
        <w:tc>
          <w:tcPr>
            <w:tcW w:type="dxa" w:w="5026"/>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Caractéristiques requises</w:t>
            </w:r>
          </w:p>
        </w:tc>
        <w:tc>
          <w:tcPr>
            <w:tcW w:type="dxa" w:w="20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Détecteur gaz portatif</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Homologué ATEX, détection CH4, alarme 10% LEL et 25% LEL, certifié EN 60079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Obligatoire — phases 7 et 8 consignation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Masque demi-face</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Filtres combinés gaz/vapeurs + particules (EN 140)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Si atmosphère gaz détectée &gt; 0% LEL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Gants anti-coupure</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Classe EPI Cat. II, EN 388 niveau 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Obligatoire manœuvre manuelle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Lunettes de protection</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EN 166 — résistance aux projections gaz/liquide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Obligatoire opérations de purge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Chaussures de sécurité</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Antistatiques, S3 EN ISO 20345, résistance hydrocarbures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Obligatoire sur site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Vêtements antistatiques</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EN 1149-3, résistance flamme EN 11612 si zone ATEX</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Obligatoire zone ATEX</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Casque de chantier</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 397, avec jugulaire sur site en tranchée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Obligatoire</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0055A4" w:sz="1"/>
              <w:left w:val="single" w:color="0055A4" w:sz="1"/>
              <w:bottom w:val="single" w:color="0055A4" w:sz="1"/>
              <w:right w:val="single" w:color="0055A4" w:sz="1"/>
            </w:tcBorders>
            <w:shd w:fill="0055A4" w:val="clear"/>
            <w:tcMar>
              <w:top w:type="dxa" w:w="120"/>
              <w:left w:type="dxa" w:w="120"/>
              <w:bottom w:type="dxa" w:w="120"/>
              <w:right w:type="dxa" w:w="120"/>
            </w:tcMar>
            <w:vAlign w:val="center"/>
          </w:tcPr>
          <w:p>
            <w:pPr>
              <w:jc w:val="center"/>
            </w:pPr>
            <w:r>
              <w:rPr>
                <w:rFonts w:ascii="Arial" w:cs="Arial" w:eastAsia="Arial" w:hAnsi="Arial"/>
                <w:color w:val="FFFFFF"/>
                <w:sz w:val="32"/>
                <w:szCs w:val="32"/>
              </w:rPr>
              <w:t xml:space="preserve">ℹ</w:t>
            </w:r>
          </w:p>
        </w:tc>
        <w:tc>
          <w:tcPr>
            <w:tcW w:type="dxa" w:w="8326"/>
            <w:tcBorders>
              <w:top w:val="single" w:color="0055A4" w:sz="1"/>
              <w:left w:val="single" w:color="0055A4" w:sz="1"/>
              <w:bottom w:val="single" w:color="0055A4" w:sz="1"/>
              <w:right w:val="single" w:color="0055A4" w:sz="1"/>
            </w:tcBorders>
            <w:shd w:fill="D6E4F0" w:val="clear"/>
            <w:tcMar>
              <w:top w:type="dxa" w:w="100"/>
              <w:left w:type="dxa" w:w="160"/>
              <w:bottom w:type="dxa" w:w="100"/>
              <w:right w:type="dxa" w:w="120"/>
            </w:tcMar>
          </w:tcPr>
          <w:p>
            <w:r>
              <w:rPr>
                <w:rFonts w:ascii="Arial" w:cs="Arial" w:eastAsia="Arial" w:hAnsi="Arial"/>
                <w:b/>
                <w:bCs/>
                <w:color w:val="003087"/>
                <w:sz w:val="22"/>
                <w:szCs w:val="22"/>
              </w:rPr>
              <w:t xml:space="preserve">Vérification des EPI</w:t>
            </w:r>
          </w:p>
          <w:p>
            <w:r>
              <w:rPr>
                <w:rFonts w:ascii="Arial" w:cs="Arial" w:eastAsia="Arial" w:hAnsi="Arial"/>
                <w:sz w:val="20"/>
                <w:szCs w:val="20"/>
              </w:rPr>
              <w:t xml:space="preserve">Avant chaque intervention, le CC vérifie la date de péremption et l'état de chaque EPI. Tout EPI défectueux, périmé ou endommagé doit être remplacé avant le début des opérations. Les EPI doivent être fournis par GRDF ou le prestataire agréé.</w:t>
            </w:r>
          </w:p>
        </w:tc>
      </w:tr>
    </w:tbl>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8. Gestion des anomalies et situations d'urgence</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8.1 Détection de gaz inattendue</w:t>
      </w:r>
    </w:p>
    <w:p>
      <w:pPr>
        <w:spacing w:after="60" w:before="60"/>
      </w:pPr>
      <w:r>
        <w:rPr>
          <w:rFonts w:ascii="Arial" w:cs="Arial" w:eastAsia="Arial" w:hAnsi="Arial"/>
          <w:sz w:val="22"/>
          <w:szCs w:val="22"/>
        </w:rPr>
        <w:t xml:space="preserve">En cas de détection de gaz (&gt; 5 % LEL) lors des vérifications :</w:t>
      </w:r>
    </w:p>
    <w:p>
      <w:pPr>
        <w:pStyle w:val="ListParagraph"/>
        <w:numPr>
          <w:ilvl w:val="0"/>
          <w:numId w:val="2"/>
        </w:numPr>
        <w:spacing w:after="40" w:before="40"/>
      </w:pPr>
      <w:r>
        <w:rPr>
          <w:rFonts w:ascii="Arial" w:cs="Arial" w:eastAsia="Arial" w:hAnsi="Arial"/>
          <w:b w:val="false"/>
          <w:bCs w:val="false"/>
          <w:sz w:val="22"/>
          <w:szCs w:val="22"/>
        </w:rPr>
        <w:t xml:space="preserve">Stopper immédiatement toutes les opérations</w:t>
      </w:r>
    </w:p>
    <w:p>
      <w:pPr>
        <w:pStyle w:val="ListParagraph"/>
        <w:numPr>
          <w:ilvl w:val="0"/>
          <w:numId w:val="2"/>
        </w:numPr>
        <w:spacing w:after="40" w:before="40"/>
      </w:pPr>
      <w:r>
        <w:rPr>
          <w:rFonts w:ascii="Arial" w:cs="Arial" w:eastAsia="Arial" w:hAnsi="Arial"/>
          <w:b w:val="false"/>
          <w:bCs w:val="false"/>
          <w:sz w:val="22"/>
          <w:szCs w:val="22"/>
        </w:rPr>
        <w:t xml:space="preserve">Évacuer le personnel de la zone d'exclusion</w:t>
      </w:r>
    </w:p>
    <w:p>
      <w:pPr>
        <w:pStyle w:val="ListParagraph"/>
        <w:numPr>
          <w:ilvl w:val="0"/>
          <w:numId w:val="2"/>
        </w:numPr>
        <w:spacing w:after="40" w:before="40"/>
      </w:pPr>
      <w:r>
        <w:rPr>
          <w:rFonts w:ascii="Arial" w:cs="Arial" w:eastAsia="Arial" w:hAnsi="Arial"/>
          <w:b w:val="false"/>
          <w:bCs w:val="false"/>
          <w:sz w:val="22"/>
          <w:szCs w:val="22"/>
        </w:rPr>
        <w:t xml:space="preserve">Alerter le RTE et le dispatching GRDF (astreinte 24h/24)</w:t>
      </w:r>
    </w:p>
    <w:p>
      <w:pPr>
        <w:pStyle w:val="ListParagraph"/>
        <w:numPr>
          <w:ilvl w:val="0"/>
          <w:numId w:val="2"/>
        </w:numPr>
        <w:spacing w:after="40" w:before="40"/>
      </w:pPr>
      <w:r>
        <w:rPr>
          <w:rFonts w:ascii="Arial" w:cs="Arial" w:eastAsia="Arial" w:hAnsi="Arial"/>
          <w:b w:val="false"/>
          <w:bCs w:val="false"/>
          <w:sz w:val="22"/>
          <w:szCs w:val="22"/>
        </w:rPr>
        <w:t xml:space="preserve">Ne pas reprendre les travaux avant autorisation écrite du RTE</w:t>
      </w:r>
    </w:p>
    <w:p>
      <w:pPr>
        <w:pStyle w:val="ListParagraph"/>
        <w:numPr>
          <w:ilvl w:val="0"/>
          <w:numId w:val="2"/>
        </w:numPr>
        <w:spacing w:after="40" w:before="40"/>
      </w:pPr>
      <w:r>
        <w:rPr>
          <w:rFonts w:ascii="Arial" w:cs="Arial" w:eastAsia="Arial" w:hAnsi="Arial"/>
          <w:b w:val="false"/>
          <w:bCs w:val="false"/>
          <w:sz w:val="22"/>
          <w:szCs w:val="22"/>
        </w:rPr>
        <w:t xml:space="preserve">Identifier et corriger la source de fuite avant toute nouvelle tentative</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8.2 Pression résiduelle anormale</w:t>
      </w:r>
    </w:p>
    <w:p>
      <w:pPr>
        <w:spacing w:after="60" w:before="60"/>
      </w:pPr>
      <w:r>
        <w:rPr>
          <w:rFonts w:ascii="Arial" w:cs="Arial" w:eastAsia="Arial" w:hAnsi="Arial"/>
          <w:sz w:val="22"/>
          <w:szCs w:val="22"/>
        </w:rPr>
        <w:t xml:space="preserve">En cas de pression résiduelle supérieure à 50 mbar après purge :</w:t>
      </w:r>
    </w:p>
    <w:p>
      <w:pPr>
        <w:pStyle w:val="ListParagraph"/>
        <w:numPr>
          <w:ilvl w:val="0"/>
          <w:numId w:val="2"/>
        </w:numPr>
        <w:spacing w:after="40" w:before="40"/>
      </w:pPr>
      <w:r>
        <w:rPr>
          <w:rFonts w:ascii="Arial" w:cs="Arial" w:eastAsia="Arial" w:hAnsi="Arial"/>
          <w:b w:val="false"/>
          <w:bCs w:val="false"/>
          <w:sz w:val="22"/>
          <w:szCs w:val="22"/>
        </w:rPr>
        <w:t xml:space="preserve">Vérifier l'étanchéité des vannes d'isolation amont et aval</w:t>
      </w:r>
    </w:p>
    <w:p>
      <w:pPr>
        <w:pStyle w:val="ListParagraph"/>
        <w:numPr>
          <w:ilvl w:val="0"/>
          <w:numId w:val="2"/>
        </w:numPr>
        <w:spacing w:after="40" w:before="40"/>
      </w:pPr>
      <w:r>
        <w:rPr>
          <w:rFonts w:ascii="Arial" w:cs="Arial" w:eastAsia="Arial" w:hAnsi="Arial"/>
          <w:b w:val="false"/>
          <w:bCs w:val="false"/>
          <w:sz w:val="22"/>
          <w:szCs w:val="22"/>
        </w:rPr>
        <w:t xml:space="preserve">Effectuer une purge complémentaire</w:t>
      </w:r>
    </w:p>
    <w:p>
      <w:pPr>
        <w:pStyle w:val="ListParagraph"/>
        <w:numPr>
          <w:ilvl w:val="0"/>
          <w:numId w:val="2"/>
        </w:numPr>
        <w:spacing w:after="40" w:before="40"/>
      </w:pPr>
      <w:r>
        <w:rPr>
          <w:rFonts w:ascii="Arial" w:cs="Arial" w:eastAsia="Arial" w:hAnsi="Arial"/>
          <w:b w:val="false"/>
          <w:bCs w:val="false"/>
          <w:sz w:val="22"/>
          <w:szCs w:val="22"/>
        </w:rPr>
        <w:t xml:space="preserve">Si la pression ne descend pas : contacter le RTE — suspendre la procédure</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8.3 Numéros d'urgence</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30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6026"/>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Numéro / Procédure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Astreinte GRDF (24h/24)</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0 800 47 33 33 (numéro vert)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Centre de crise national</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Cf. panneau affichage obligatoire sur site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SAMU / Pompiers</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15 / 18 / 112</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RTE de zone</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Consulter l'annuaire interne GRDF</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default"/>
            </w:r>
          </w:p>
        </w:tc>
      </w:tr>
    </w:tbl>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9. Traçabilité et archivage</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9.1 Documents obligatoires</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900"/>
        <w:gridCol w:w="1826"/>
      </w:tblGrid>
      <w:tr>
        <w:trPr>
          <w:tblHeader/>
        </w:trPr>
        <w:tc>
          <w:tcPr>
            <w:tcW w:type="dxa" w:w="28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5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Contenu minimum</w:t>
            </w:r>
          </w:p>
        </w:tc>
        <w:tc>
          <w:tcPr>
            <w:tcW w:type="dxa" w:w="19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Durée archivage</w:t>
            </w:r>
          </w:p>
        </w:tc>
        <w:tc>
          <w:tcPr>
            <w:tcW w:type="dxa" w:w="1826"/>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Permis de Travail (PT)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Signataires, périmètre, dates, conditions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10 ans</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GED GRDF</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Attestation de consignation</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Identifiant vanne, mesures, CC, CT, horodatage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 ans</w:t>
            </w:r>
          </w:p>
        </w:tc>
        <w:tc>
          <w:tcPr>
            <w:tcW w:type="dxa" w:w="1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GED GRDF</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Registre d'intervention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Valeurs mesurées, anomalies, déroulement</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10 ans</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GED + physique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Rapport de contrôle d'étanchéité</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Pression test, durée, résultats, certificat</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Durée vie équipement</w:t>
            </w:r>
          </w:p>
        </w:tc>
        <w:tc>
          <w:tcPr>
            <w:tcW w:type="dxa" w:w="1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GED GRDF</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Fiche de dérogation (si applicable)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Motif, validation RTE, conditions restrictives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10 ans</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GED GRDF</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Compte-rendu d'incident (si applicable)</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Description, causes, actions correctives</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Permanente</w:t>
            </w:r>
          </w:p>
        </w:tc>
        <w:tc>
          <w:tcPr>
            <w:tcW w:type="dxa" w:w="1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GED GRDF + DREAL</w:t>
            </w:r>
          </w:p>
        </w:tc>
      </w:tr>
    </w:tbl>
    <w:p>
      <w:pPr>
        <w:spacing w:after="80" w:before="160"/>
      </w:pPr>
      <w:r>
        <w:t xml:space="preserve"/>
      </w:r>
    </w:p>
    <w:p>
      <w:pPr>
        <w:pStyle w:val="Heading2"/>
        <w:spacing w:after="80" w:before="240"/>
      </w:pPr>
      <w:r>
        <w:rPr>
          <w:rFonts w:ascii="Arial" w:cs="Arial" w:eastAsia="Arial" w:hAnsi="Arial"/>
          <w:b/>
          <w:bCs/>
          <w:color w:val="0055A4"/>
          <w:sz w:val="24"/>
          <w:szCs w:val="24"/>
        </w:rPr>
        <w:t xml:space="preserve">9.2 Saisie dans la GED GRDF</w:t>
      </w:r>
    </w:p>
    <w:p>
      <w:pPr>
        <w:spacing w:after="60" w:before="60"/>
      </w:pPr>
      <w:r>
        <w:rPr>
          <w:rFonts w:ascii="Arial" w:cs="Arial" w:eastAsia="Arial" w:hAnsi="Arial"/>
          <w:sz w:val="22"/>
          <w:szCs w:val="22"/>
        </w:rPr>
        <w:t xml:space="preserve">Chaque opération de consignation/déconsignation doit être saisie dans le système de Gestion Électronique des Documents GRDF dans un délai maximum de 24 heures après la fin de l'intervention. Les documents numériques doivent être classés sous le code affaire de l'intervention et associés à l'identifiant de l'équipement (code GRDF de la vanne).</w:t>
      </w:r>
    </w:p>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10. Contrôle qualité et retour d'expérience</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10.1 Audit interne</w:t>
      </w:r>
    </w:p>
    <w:p>
      <w:pPr>
        <w:spacing w:after="60" w:before="60"/>
      </w:pPr>
      <w:r>
        <w:rPr>
          <w:rFonts w:ascii="Arial" w:cs="Arial" w:eastAsia="Arial" w:hAnsi="Arial"/>
          <w:sz w:val="22"/>
          <w:szCs w:val="22"/>
        </w:rPr>
        <w:t xml:space="preserve">Les procédures de consignation/déconsignation font l'objet d'audits internes annuels conduits par le service HSE de GRDF. Les non-conformités relevées font l'objet d'actions correctives formalisées dans le système de management GRDF.</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10.2 Indicateurs de suivi</w:t>
      </w:r>
    </w:p>
    <w:p>
      <w:pPr>
        <w:pStyle w:val="ListParagraph"/>
        <w:numPr>
          <w:ilvl w:val="0"/>
          <w:numId w:val="2"/>
        </w:numPr>
        <w:spacing w:after="40" w:before="40"/>
      </w:pPr>
      <w:r>
        <w:rPr>
          <w:rFonts w:ascii="Arial" w:cs="Arial" w:eastAsia="Arial" w:hAnsi="Arial"/>
          <w:b w:val="false"/>
          <w:bCs w:val="false"/>
          <w:sz w:val="22"/>
          <w:szCs w:val="22"/>
        </w:rPr>
        <w:t xml:space="preserve">Nombre d'incidents liés aux opérations de consignation (cible : 0)</w:t>
      </w:r>
    </w:p>
    <w:p>
      <w:pPr>
        <w:pStyle w:val="ListParagraph"/>
        <w:numPr>
          <w:ilvl w:val="0"/>
          <w:numId w:val="2"/>
        </w:numPr>
        <w:spacing w:after="40" w:before="40"/>
      </w:pPr>
      <w:r>
        <w:rPr>
          <w:rFonts w:ascii="Arial" w:cs="Arial" w:eastAsia="Arial" w:hAnsi="Arial"/>
          <w:b w:val="false"/>
          <w:bCs w:val="false"/>
          <w:sz w:val="22"/>
          <w:szCs w:val="22"/>
        </w:rPr>
        <w:t xml:space="preserve">Taux de conformité documentaire (cible : 100 %)</w:t>
      </w:r>
    </w:p>
    <w:p>
      <w:pPr>
        <w:pStyle w:val="ListParagraph"/>
        <w:numPr>
          <w:ilvl w:val="0"/>
          <w:numId w:val="2"/>
        </w:numPr>
        <w:spacing w:after="40" w:before="40"/>
      </w:pPr>
      <w:r>
        <w:rPr>
          <w:rFonts w:ascii="Arial" w:cs="Arial" w:eastAsia="Arial" w:hAnsi="Arial"/>
          <w:b w:val="false"/>
          <w:bCs w:val="false"/>
          <w:sz w:val="22"/>
          <w:szCs w:val="22"/>
        </w:rPr>
        <w:t xml:space="preserve">Délai de saisie GED post-intervention (cible : &lt; 24 h dans 95 % des cas)</w:t>
      </w:r>
    </w:p>
    <w:p>
      <w:pPr>
        <w:pStyle w:val="ListParagraph"/>
        <w:numPr>
          <w:ilvl w:val="0"/>
          <w:numId w:val="2"/>
        </w:numPr>
        <w:spacing w:after="40" w:before="40"/>
      </w:pPr>
      <w:r>
        <w:rPr>
          <w:rFonts w:ascii="Arial" w:cs="Arial" w:eastAsia="Arial" w:hAnsi="Arial"/>
          <w:b w:val="false"/>
          <w:bCs w:val="false"/>
          <w:sz w:val="22"/>
          <w:szCs w:val="22"/>
        </w:rPr>
        <w:t xml:space="preserve">Taux de renouvellement des habilitations CC dans les délais (cible : 100 %)</w:t>
      </w:r>
    </w:p>
    <w:p>
      <w:pPr>
        <w:spacing w:after="80" w:before="160"/>
      </w:pPr>
      <w:r>
        <w:t xml:space="preserve"/>
      </w:r>
    </w:p>
    <w:p>
      <w:pPr>
        <w:pStyle w:val="Heading2"/>
        <w:spacing w:after="80" w:before="240"/>
      </w:pPr>
      <w:r>
        <w:rPr>
          <w:rFonts w:ascii="Arial" w:cs="Arial" w:eastAsia="Arial" w:hAnsi="Arial"/>
          <w:b/>
          <w:bCs/>
          <w:color w:val="0055A4"/>
          <w:sz w:val="24"/>
          <w:szCs w:val="24"/>
        </w:rPr>
        <w:t xml:space="preserve">10.3 Mise à jour de la procédure</w:t>
      </w:r>
    </w:p>
    <w:p>
      <w:pPr>
        <w:spacing w:after="60" w:before="60"/>
      </w:pPr>
      <w:r>
        <w:rPr>
          <w:rFonts w:ascii="Arial" w:cs="Arial" w:eastAsia="Arial" w:hAnsi="Arial"/>
          <w:sz w:val="22"/>
          <w:szCs w:val="22"/>
        </w:rPr>
        <w:t xml:space="preserve">Cette procédure est révisée au minimum tous les 3 ans, ou en cas de modification réglementaire, d'incident significatif, ou de modification du parc d'équipements. Toute proposition de modification doit être adressée au service Documentation Technique avec la fiche de modification réglementaire (FMR-001).</w:t>
      </w:r>
    </w:p>
    <w:p>
      <w:pPr>
        <w:spacing w:after="80" w:before="160"/>
      </w:pPr>
      <w:r>
        <w:t xml:space="preserve"/>
      </w:r>
    </w:p>
    <w:p>
      <w:r>
        <w:br w:type="page"/>
      </w:r>
    </w:p>
    <w:p>
      <w:pPr>
        <w:pStyle w:val="Heading1"/>
        <w:pBdr>
          <w:bottom w:val="single" w:color="0055A4" w:sz="8" w:space="4"/>
        </w:pBdr>
        <w:spacing w:after="120" w:before="360"/>
      </w:pPr>
      <w:r>
        <w:rPr>
          <w:rFonts w:ascii="Arial" w:cs="Arial" w:eastAsia="Arial" w:hAnsi="Arial"/>
          <w:b/>
          <w:bCs/>
          <w:color w:val="003087"/>
          <w:sz w:val="28"/>
          <w:szCs w:val="28"/>
        </w:rPr>
        <w:t xml:space="preserve">Annexe A — Checklist de consignation</w:t>
      </w:r>
    </w:p>
    <w:p>
      <w:pPr>
        <w:spacing w:after="80" w:before="160"/>
      </w:pPr>
      <w:r>
        <w:t xml:space="preserve"/>
      </w:r>
    </w:p>
    <w:p>
      <w:pPr>
        <w:spacing w:after="60" w:before="60"/>
      </w:pPr>
      <w:r>
        <w:rPr>
          <w:rFonts w:ascii="Arial" w:cs="Arial" w:eastAsia="Arial" w:hAnsi="Arial"/>
          <w:sz w:val="22"/>
          <w:szCs w:val="22"/>
        </w:rPr>
        <w:t xml:space="preserve">À compléter par le Chargé de Consignation (CC) avant remise de l'attestation au Chargé de Travaux.</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1263"/>
        <w:gridCol w:w="1263"/>
      </w:tblGrid>
      <w:tr>
        <w:trPr>
          <w:tblHeader/>
        </w:trPr>
        <w:tc>
          <w:tcPr>
            <w:tcW w:type="dxa" w:w="6500"/>
            <w:tcBorders>
              <w:top w:val="single" w:color="0055A4" w:sz="1"/>
              <w:left w:val="single" w:color="0055A4" w:sz="1"/>
              <w:bottom w:val="single" w:color="0055A4" w:sz="1"/>
              <w:right w:val="single" w:color="0055A4"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Étape / Vérification</w:t>
            </w:r>
          </w:p>
        </w:tc>
        <w:tc>
          <w:tcPr>
            <w:tcW w:type="dxa" w:w="1263"/>
            <w:tcBorders>
              <w:top w:val="single" w:color="0055A4" w:sz="1"/>
              <w:left w:val="single" w:color="0055A4" w:sz="1"/>
              <w:bottom w:val="single" w:color="0055A4" w:sz="1"/>
              <w:right w:val="single" w:color="0055A4" w:sz="1"/>
            </w:tcBorders>
            <w:shd w:fill="0055A4" w:val="clear"/>
            <w:tcMar>
              <w:top w:type="dxa" w:w="80"/>
              <w:left w:type="dxa" w:w="60"/>
              <w:bottom w:type="dxa" w:w="80"/>
              <w:right w:type="dxa" w:w="60"/>
            </w:tcMar>
          </w:tcPr>
          <w:p>
            <w:pPr>
              <w:jc w:val="center"/>
            </w:pPr>
            <w:r>
              <w:rPr>
                <w:rFonts w:ascii="Arial" w:cs="Arial" w:eastAsia="Arial" w:hAnsi="Arial"/>
                <w:b/>
                <w:bCs/>
                <w:color w:val="FFFFFF"/>
                <w:sz w:val="20"/>
                <w:szCs w:val="20"/>
              </w:rPr>
              <w:t xml:space="preserve">OK</w:t>
            </w:r>
          </w:p>
        </w:tc>
        <w:tc>
          <w:tcPr>
            <w:tcW w:type="dxa" w:w="1263"/>
            <w:tcBorders>
              <w:top w:val="single" w:color="0055A4" w:sz="1"/>
              <w:left w:val="single" w:color="0055A4" w:sz="1"/>
              <w:bottom w:val="single" w:color="0055A4" w:sz="1"/>
              <w:right w:val="single" w:color="0055A4" w:sz="1"/>
            </w:tcBorders>
            <w:shd w:fill="0055A4" w:val="clear"/>
            <w:tcMar>
              <w:top w:type="dxa" w:w="80"/>
              <w:left w:type="dxa" w:w="60"/>
              <w:bottom w:type="dxa" w:w="80"/>
              <w:right w:type="dxa" w:w="60"/>
            </w:tcMar>
          </w:tcPr>
          <w:p>
            <w:pPr>
              <w:jc w:val="center"/>
            </w:pPr>
            <w:r>
              <w:rPr>
                <w:rFonts w:ascii="Arial" w:cs="Arial" w:eastAsia="Arial" w:hAnsi="Arial"/>
                <w:b/>
                <w:bCs/>
                <w:color w:val="FFFFFF"/>
                <w:sz w:val="20"/>
                <w:szCs w:val="20"/>
              </w:rPr>
              <w:t xml:space="preserve">Obs.</w:t>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Permis de travail signé et valide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Plan de prévention approuvé</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EPI vérifiés et en bon état</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Zones d'exclusion balisées</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Briefing sécurité réalisé</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Vanne principale fermée — position vérifiée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Vannes amont et aval fermées</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Cadenas LOTO posés sur tous les organes</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Actionneur mis hors service et bloqué</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Purge effectuée — teneur gaz &lt; 5% LEL</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Pression résiduelle &lt; 10 mbar</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Mesure gaz : 0% LEL confirmée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2F2F2" w:val="clear"/>
            <w:tcMar>
              <w:top w:type="dxa" w:w="80"/>
              <w:left w:type="dxa" w:w="60"/>
              <w:bottom w:type="dxa" w:w="80"/>
              <w:right w:type="dxa" w:w="60"/>
            </w:tcMar>
          </w:tcPr>
          <w:p>
            <w:r>
              <w:rPr>
                <w:rFonts w:ascii="Arial" w:cs="Arial" w:eastAsia="Arial" w:hAnsi="Arial"/>
                <w:sz w:val="20"/>
                <w:szCs w:val="20"/>
              </w:rPr>
              <w:t xml:space="preserve"/>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Attestation de consignation remplie et signée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pPr>
              <w:jc w:val="center"/>
            </w:pPr>
            <w:r>
              <w:rPr>
                <w:rFonts w:ascii="Arial" w:cs="Arial" w:eastAsia="Arial" w:hAnsi="Arial"/>
                <w:sz w:val="20"/>
                <w:szCs w:val="20"/>
              </w:rPr>
              <w:t xml:space="preserve">☐</w:t>
            </w:r>
          </w:p>
        </w:tc>
        <w:tc>
          <w:tcPr>
            <w:tcW w:type="dxa" w:w="1263"/>
            <w:tcBorders>
              <w:top w:val="single" w:color="BFBFBF" w:sz="1"/>
              <w:left w:val="single" w:color="BFBFBF" w:sz="1"/>
              <w:bottom w:val="single" w:color="BFBFBF" w:sz="1"/>
              <w:right w:val="single" w:color="BFBFBF" w:sz="1"/>
            </w:tcBorders>
            <w:shd w:fill="FFFFFF" w:val="clear"/>
            <w:tcMar>
              <w:top w:type="dxa" w:w="80"/>
              <w:left w:type="dxa" w:w="60"/>
              <w:bottom w:type="dxa" w:w="80"/>
              <w:right w:type="dxa" w:w="60"/>
            </w:tcMar>
          </w:tcPr>
          <w:p>
            <w:r>
              <w:rPr>
                <w:rFonts w:ascii="Arial" w:cs="Arial" w:eastAsia="Arial" w:hAnsi="Arial"/>
                <w:sz w:val="20"/>
                <w:szCs w:val="20"/>
              </w:rPr>
              <w:t xml:space="preserve"/>
            </w:r>
          </w:p>
        </w:tc>
      </w:tr>
    </w:tbl>
    <w:p>
      <w:pPr>
        <w:spacing w:after="80" w:before="160"/>
      </w:pPr>
      <w:r>
        <w:t xml:space="preserve"/>
      </w:r>
    </w:p>
    <w:p>
      <w:pPr>
        <w:spacing w:after="60" w:before="60"/>
      </w:pPr>
      <w:r>
        <w:rPr>
          <w:rFonts w:ascii="Arial" w:cs="Arial" w:eastAsia="Arial" w:hAnsi="Arial"/>
          <w:sz w:val="22"/>
          <w:szCs w:val="22"/>
        </w:rPr>
        <w:t xml:space="preserve">CC (Nom / Signature / Date) : _______________________________________________</w:t>
      </w:r>
    </w:p>
    <w:p>
      <w:pPr>
        <w:spacing w:after="80" w:before="160"/>
      </w:pPr>
      <w:r>
        <w:t xml:space="preserve"/>
      </w:r>
    </w:p>
    <w:p>
      <w:pPr>
        <w:spacing w:after="60" w:before="60"/>
      </w:pPr>
      <w:r>
        <w:rPr>
          <w:rFonts w:ascii="Arial" w:cs="Arial" w:eastAsia="Arial" w:hAnsi="Arial"/>
          <w:sz w:val="22"/>
          <w:szCs w:val="22"/>
        </w:rPr>
        <w:t xml:space="preserve">CT (Nom / Signature / Date) : ________________________________________________</w:t>
      </w:r>
    </w:p>
    <w:p>
      <w:pPr>
        <w:spacing w:after="80" w:before="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Arial" w:cs="Arial" w:eastAsia="Arial" w:hAnsi="Arial"/>
              <w:color w:val="888888"/>
              <w:sz w:val="16"/>
              <w:szCs w:val="16"/>
            </w:rPr>
            <w:t xml:space="preserve">Version 3.2 — Avril 2025 — Usage interne GRDF</w:t>
          </w:r>
        </w:p>
      </w:tc>
      <w:tc>
        <w:tcPr>
          <w:tcW w:type="dxa" w:w="4513"/>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03087"/>
              <w:sz w:val="22"/>
              <w:szCs w:val="22"/>
            </w:rPr>
            <w:t xml:space="preserve">GRDF</w:t>
          </w:r>
        </w:p>
      </w:tc>
      <w:tc>
        <w:tcPr>
          <w:tcW w:type="dxa" w:w="5026"/>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Arial" w:cs="Arial" w:eastAsia="Arial" w:hAnsi="Arial"/>
              <w:color w:val="666666"/>
              <w:sz w:val="18"/>
              <w:szCs w:val="18"/>
            </w:rPr>
            <w:t xml:space="preserve">Procédure Consignation/Déconsignation — Vannes de Sectionnement Gaz</w:t>
          </w:r>
        </w:p>
      </w:tc>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66666"/>
              <w:sz w:val="18"/>
              <w:szCs w:val="18"/>
            </w:rPr>
            <w:t xml:space="preserve">GRDF-PTS-CDSV-001</w:t>
          </w:r>
        </w:p>
      </w:tc>
    </w:tr>
  </w:tbl>
  <w:p>
    <w:pPr>
      <w:pBdr>
        <w:bottom w:val="single" w:color="0055A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08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55A4"/>
      <w:sz w:val="24"/>
      <w:szCs w:val="24"/>
    </w:rPr>
  </w:style>
  <w:style w:type="paragraph" w:styleId="Heading3">
    <w:name w:val="Heading 3"/>
    <w:basedOn w:val="Normal"/>
    <w:next w:val="Normal"/>
    <w:qFormat/>
    <w:pPr>
      <w:spacing w:after="60" w:before="180"/>
      <w:outlineLvl w:val="2"/>
    </w:pPr>
    <w:rPr>
      <w:rFonts w:ascii="Arial" w:cs="Arial" w:eastAsia="Arial" w:hAnsi="Arial"/>
      <w:b/>
      <w:bCs/>
      <w:color w:val="0055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2026-04-03T07:04:49.836Z</dcterms:created>
  <dcterms:modified xsi:type="dcterms:W3CDTF">2026-04-03T07:04:49.836Z</dcterms:modified>
</cp:coreProperties>
</file>

<file path=docProps/custom.xml><?xml version="1.0" encoding="utf-8"?>
<Properties xmlns="http://schemas.openxmlformats.org/officeDocument/2006/custom-properties" xmlns:vt="http://schemas.openxmlformats.org/officeDocument/2006/docPropsVTypes"/>
</file>