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color w:val="0A192F"/>
          <w:sz w:val="40"/>
        </w:rPr>
        <w:t>Intelligent Radar Target Classification System:</w:t>
        <w:br/>
        <w:t>Micro-Doppler Based Aerial Target Discrimination Using FMCW Radar and Deep Learning</w:t>
      </w:r>
    </w:p>
    <w:p>
      <w:pPr>
        <w:spacing w:after="40"/>
        <w:jc w:val="center"/>
      </w:pPr>
      <w:r>
        <w:rPr>
          <w:rFonts w:ascii="Times New Roman" w:hAnsi="Times New Roman"/>
          <w:b/>
          <w:color w:val="141414"/>
          <w:sz w:val="22"/>
        </w:rPr>
        <w:t>Ananth M  •  Bathri prasanth V  •  Gowshekan A V R  •  Gugan M R</w:t>
      </w:r>
    </w:p>
    <w:p>
      <w:pPr>
        <w:spacing w:after="280"/>
        <w:jc w:val="center"/>
      </w:pPr>
      <w:r>
        <w:rPr>
          <w:rFonts w:ascii="Times New Roman" w:hAnsi="Times New Roman"/>
          <w:i/>
          <w:color w:val="505050"/>
          <w:sz w:val="19"/>
        </w:rPr>
        <w:t>Department of Computer Science and Engineering</w:t>
        <w:br/>
        <w:t>Sri Eshwar College of Engineering, Coimbatore, Tamil Nadu, India</w:t>
        <w:br/>
        <w:t>Email: {ananth.m, bathriprasanth.v, gowshekan.avr, gugan.mr}@sece.ac.in</w:t>
      </w:r>
    </w:p>
    <w:tbl>
      <w:tblPr>
        <w:tblW w:type="auto" w:w="0"/>
        <w:jc w:val="center"/>
        <w:tblLook w:firstColumn="1" w:firstRow="1" w:lastColumn="0" w:lastRow="0" w:noHBand="0" w:noVBand="1" w:val="04A0"/>
      </w:tblPr>
      <w:tblGrid>
        <w:gridCol w:w="10080"/>
      </w:tblGrid>
      <w:tr>
        <w:tc>
          <w:tcPr>
            <w:tcW w:type="dxa" w:w="10080"/>
            <w:shd w:fill="F4F6F9"/>
            <w:tcMar>
              <w:top w:w="140" w:type="dxa"/>
              <w:bottom w:w="140" w:type="dxa"/>
              <w:left w:w="200" w:type="dxa"/>
              <w:right w:w="200" w:type="dxa"/>
            </w:tcMar>
          </w:tcPr>
          <w:p>
            <w:pPr>
              <w:spacing w:line="252" w:lineRule="auto" w:after="80"/>
              <w:jc w:val="both"/>
            </w:pPr>
            <w:r>
              <w:rPr>
                <w:rFonts w:ascii="Times New Roman" w:hAnsi="Times New Roman"/>
                <w:b/>
                <w:sz w:val="18"/>
              </w:rPr>
              <w:t>Abstract—</w:t>
            </w:r>
            <w:r>
              <w:rPr>
                <w:rFonts w:ascii="Times New Roman" w:hAnsi="Times New Roman"/>
                <w:sz w:val="18"/>
              </w:rPr>
              <w:t>The exponential rise of commercial and recreational Uncrewed Aerial Vehicles (UAVs) introduces unprecedented safety, security, and airspace surveillance challenges around airports and critical infrastructure. Conventional primary radar systems rely heavily on Radar Cross Section (RCS) and bulk Doppler shift; however, distinguishing low-flying mini-drones from biological birds remains notoriously difficult due to overlapping RCS signatures (0.01–0.05 m²) and comparable radial velocities (5–20 m/s). To resolve this fundamental ambiguity, this paper proposes and implements the Intelligent Radar Target Classification System (SkyShield AI), an end-to-end framework leveraging Frequency-Modulated Continuous-Wave (FMCW) radar and Micro-Doppler (μ-D) signature processing. By performing centered two-sided Short-Time Fourier Transform (STFT) with Hann windowing on 24 GHz dechirped baseband beat signals, the system generates normalized time-frequency spectrogram heatmaps that capture the distinct physical micro-motions: rapid propeller blade chopping harmonics (160–300 Hz) for drones versus smooth, undulating wing-flapping kinematic modulations (2.5–5.5 Hz) for birds. A modular classification architecture is implemented, combining physics-informed heuristic feature extraction with a dedicated 224×224×1 Convolutional Neural Network (CNN). The prototype incorporates a polymorphic hardware abstraction layer, SQLite persistent telemetry storage, a sub-second WebSocket streaming engine, and a defense-grade real-time Plan Position Indicator (PPI) dashboard. Experimental evaluations demonstrate an overall classification accuracy of 96.2% across Drone, Bird, and Clutter/Unknown categories, with a processing latency under 15 ms per observation frame, confirming its feasibility for edge-deployed perimeter air defense.</w:t>
            </w:r>
          </w:p>
          <w:p>
            <w:pPr>
              <w:spacing w:before="40" w:after="0"/>
            </w:pPr>
            <w:r>
              <w:rPr>
                <w:rFonts w:ascii="Times New Roman" w:hAnsi="Times New Roman"/>
                <w:b/>
                <w:sz w:val="18"/>
              </w:rPr>
              <w:t>Keywords—</w:t>
            </w:r>
            <w:r>
              <w:rPr>
                <w:rFonts w:ascii="Times New Roman" w:hAnsi="Times New Roman"/>
                <w:i/>
                <w:sz w:val="18"/>
              </w:rPr>
              <w:t>Frequency-Modulated Continuous-Wave (FMCW) Radar, Micro-Doppler Effect, Short-Time Fourier Transform (STFT), Aerial Target Classification, Convolutional Neural Networks (CNN), UAV Detection, Drone vs. Bird Discrimination.</w:t>
            </w:r>
          </w:p>
        </w:tc>
      </w:tr>
    </w:tbl>
    <w:p>
      <w:pPr>
        <w:spacing w:after="120"/>
      </w:pPr>
    </w:p>
    <w:p>
      <w:pPr>
        <w:spacing w:before="240" w:after="80"/>
      </w:pPr>
      <w:r>
        <w:rPr>
          <w:rFonts w:ascii="Times New Roman" w:hAnsi="Times New Roman"/>
          <w:b/>
          <w:color w:val="0F172A"/>
          <w:sz w:val="21"/>
        </w:rPr>
        <w:t>I. INTRODUCTION</w:t>
      </w:r>
    </w:p>
    <w:p>
      <w:pPr>
        <w:spacing w:line="252" w:lineRule="auto" w:after="80"/>
        <w:jc w:val="both"/>
      </w:pPr>
      <w:r>
        <w:rPr>
          <w:rFonts w:ascii="Times New Roman" w:hAnsi="Times New Roman"/>
          <w:sz w:val="20"/>
        </w:rPr>
        <w:t>In recent years, the rapid advancement and commercial proliferation of multi-rotor Uncrewed Aerial Vehicles (UAVs) have revolutionized sectors such as precision agriculture, aerial logistics, environmental monitoring, and emergency response. However, this widespread availability has simultaneously introduced profound security vulnerabilities. Unauthorized drones frequently disrupt airport flight operations, breach critical military perimeters, transport illicit contraband across borders, and infringe upon civil privacy. Consequently, developing robust, automated, and continuous Counter-Unmanned Aerial Systems (C-UAS) has emerged as an urgent priority for civil aviation authorities and homeland defense agencies globally.</w:t>
      </w:r>
    </w:p>
    <w:p>
      <w:pPr>
        <w:spacing w:line="252" w:lineRule="auto" w:after="80"/>
        <w:jc w:val="both"/>
      </w:pPr>
      <w:r>
        <w:rPr>
          <w:rFonts w:ascii="Times New Roman" w:hAnsi="Times New Roman"/>
          <w:sz w:val="20"/>
        </w:rPr>
        <w:t>Traditional surveillance methodologies exhibit severe operational shortcomings when tasked with detecting mini- and micro-UAVs. Optical and infrared camera systems degrade substantially under adverse weather conditions, including heavy precipitation, dense fog, dust storms, and total nocturnal darkness. Acoustic sensors suffer from limited spatial detection ranges (typically under 100 meters) and are readily saturated by ambient urban and environmental acoustic clutter. Radio Frequency (RF) scanners, while capable of detecting command-and-control communication links, fail completely against autonomous drones operating in silent mode via pre-programmed GPS waypoints. Radar systems remain the definitive sensor for long-range, all-weather, day-and-night volumetric airspace surveillance.</w:t>
      </w:r>
    </w:p>
    <w:p>
      <w:pPr>
        <w:spacing w:line="252" w:lineRule="auto" w:after="80"/>
        <w:jc w:val="both"/>
      </w:pPr>
      <w:r>
        <w:rPr>
          <w:rFonts w:ascii="Times New Roman" w:hAnsi="Times New Roman"/>
          <w:sz w:val="20"/>
        </w:rPr>
        <w:t>Nonetheless, classical primary radar systems confront a catastrophic ambiguity: distinguishing small drones from biological birds. Because consumer quadcopters are manufactured primarily from lightweight composite polymers and carbon fibers, their Radar Cross Section (RCS) is extremely diminutive (ranging from 0.01 m² to 0.05 m²), exactly matching the reflective signature of medium avian species such as pigeons, crows, and seagulls. Furthermore, both target classes share overlapping low-altitude kinematic corridors, routinely traveling at radial velocities between 5 m/s and 20 m/s. Consequently, primary radars relying solely on kinematic tracking and RCS amplitude generate unacceptably high false alarm rates, overwhelming human air traffic operators.</w:t>
      </w:r>
    </w:p>
    <w:p>
      <w:pPr>
        <w:spacing w:line="252" w:lineRule="auto" w:after="80"/>
        <w:jc w:val="both"/>
      </w:pPr>
      <w:r>
        <w:rPr>
          <w:rFonts w:ascii="Times New Roman" w:hAnsi="Times New Roman"/>
          <w:sz w:val="20"/>
        </w:rPr>
        <w:t>To overcome this dilemma, the electromagnetic phenomenon known as the Micro-Doppler (μ-D) effect serves as an indispensable biometric. While the target body contributes a bulk translational Doppler shift, periodic mechanical or bio-mechanical sub-motions—such as spinning rotor blades or articulated flapping wings—induce distinctive, time-varying phase modulations. This research presents the Intelligent Radar Target Classification System, an integrated engineering prototype combining 24 GHz FMCW radar signal modeling, centered Short-Time Fourier Transform (STFT) time-frequency analysis, physics-informed feature extraction, and Convolutional Neural Networks to achieve dependable, real-time target discrimination without requiring weaponized or active jamming countermeasures.</w:t>
      </w:r>
    </w:p>
    <w:p>
      <w:pPr>
        <w:spacing w:before="240" w:after="80"/>
      </w:pPr>
      <w:r>
        <w:rPr>
          <w:rFonts w:ascii="Times New Roman" w:hAnsi="Times New Roman"/>
          <w:b/>
          <w:color w:val="0F172A"/>
          <w:sz w:val="21"/>
        </w:rPr>
        <w:t>II. RELATED WORK</w:t>
      </w:r>
    </w:p>
    <w:p>
      <w:pPr>
        <w:spacing w:line="252" w:lineRule="auto" w:after="80"/>
        <w:jc w:val="both"/>
      </w:pPr>
      <w:r>
        <w:rPr>
          <w:rFonts w:ascii="Times New Roman" w:hAnsi="Times New Roman"/>
          <w:sz w:val="20"/>
        </w:rPr>
        <w:t>The exploration of micro-Doppler signatures for radar target recognition was initially pioneered by Chen et al. [1], who mathematically characterized how vibrating, rotating, and oscillating scatterers induce phase modulations in backscattered electromagnetic fields. Early defense applications focused primarily on ballistic missile warhead precession and vehicular wheeled vs. tracked discrimination. With the recent emergence of consumer drones, researchers pivoted micro-Doppler analysis toward small aerial objects.</w:t>
      </w:r>
    </w:p>
    <w:p>
      <w:pPr>
        <w:spacing w:line="252" w:lineRule="auto" w:after="80"/>
        <w:jc w:val="both"/>
      </w:pPr>
      <w:r>
        <w:rPr>
          <w:rFonts w:ascii="Times New Roman" w:hAnsi="Times New Roman"/>
          <w:sz w:val="20"/>
        </w:rPr>
        <w:t>De Wit et al. [2] and Molchanov et al. [3] demonstrated that multi-rotor UAVs generate unique spectral harmonics corresponding to the blade chopping frequency, directly tied to rotor angular velocity and blade count. In contrast, avian flight dynamics, as modeled by Vaughan [4] and Ritchie et al. [5], produce lower-frequency, quasi-sinusoidal modulations originating from wing upstroke and downstroke elastic deformation. Kim and Ling [6] demonstrated that time-frequency analysis via the Short-Time Fourier Transform (STFT) or Continuous Wavelet Transform (CWT) visually decouples these structural dynamics into recognizable two-dimensional signatures.</w:t>
      </w:r>
    </w:p>
    <w:p>
      <w:pPr>
        <w:spacing w:line="252" w:lineRule="auto" w:after="80"/>
        <w:jc w:val="both"/>
      </w:pPr>
      <w:r>
        <w:rPr>
          <w:rFonts w:ascii="Times New Roman" w:hAnsi="Times New Roman"/>
          <w:sz w:val="20"/>
        </w:rPr>
        <w:t>Recent advances have concentrated on automating signature classification through machine learning and deep convolutional architectures. Fioranelli et al. [7] explored multi-static radar networks for micro-Doppler feature extraction using Support Vector Machines (SVMs). Rahman and Tran [8], alongside Patel et al. [9], demonstrated that feeding two-dimensional grayscale STFT spectrograms into deep ConvNets outperforms manual feature engineering, achieving classification accuracies exceeding 90%. However, existing literature largely focuses on offline post-processing of pre-recorded benchmark datasets (such as DIAT-μSat [10]), leaving a major engineering gap in real-time streaming dashboards, modular hardware abstraction layers, and sub-second edge deployment architectures. The Intelligent Radar Target Classification System specifically bridges this gap by offering an operational full-stack prototype.</w:t>
      </w:r>
    </w:p>
    <w:p>
      <w:pPr>
        <w:spacing w:before="240" w:after="80"/>
      </w:pPr>
      <w:r>
        <w:rPr>
          <w:rFonts w:ascii="Times New Roman" w:hAnsi="Times New Roman"/>
          <w:b/>
          <w:color w:val="0F172A"/>
          <w:sz w:val="21"/>
        </w:rPr>
        <w:t>III. RADAR PHYSICS &amp; MICRO-DOPPLER MODELING</w:t>
      </w:r>
    </w:p>
    <w:p>
      <w:pPr>
        <w:spacing w:before="160" w:after="40"/>
      </w:pPr>
      <w:r>
        <w:rPr>
          <w:rFonts w:ascii="Times New Roman" w:hAnsi="Times New Roman"/>
          <w:b/>
          <w:i/>
          <w:color w:val="1E293B"/>
          <w:sz w:val="20"/>
        </w:rPr>
        <w:t>A. FMCW Radar Signal Model</w:t>
      </w:r>
    </w:p>
    <w:p>
      <w:pPr>
        <w:spacing w:line="252" w:lineRule="auto" w:after="80"/>
        <w:jc w:val="both"/>
      </w:pPr>
      <w:r>
        <w:rPr>
          <w:rFonts w:ascii="Times New Roman" w:hAnsi="Times New Roman"/>
          <w:sz w:val="20"/>
        </w:rPr>
        <w:t>Frequency-Modulated Continuous-Wave (FMCW) radar transmits a sequence of linear chirps whose instantaneous frequency sweeps across bandwidth B over chirp duration T_c. The transmitted signal s_tx(t) is expressed as:</w:t>
      </w:r>
    </w:p>
    <w:p>
      <w:pPr>
        <w:spacing w:line="252" w:lineRule="auto" w:after="80"/>
        <w:jc w:val="both"/>
      </w:pPr>
      <w:r>
        <w:rPr>
          <w:rFonts w:ascii="Times New Roman" w:hAnsi="Times New Roman"/>
          <w:sz w:val="20"/>
        </w:rPr>
        <w:t>s_tx(t) = A_tx · cos(2π f_c t + π K t² + φ_0),   0 ≤ t ≤ T_c   (1)</w:t>
      </w:r>
    </w:p>
    <w:p>
      <w:pPr>
        <w:spacing w:line="252" w:lineRule="auto" w:after="80"/>
        <w:jc w:val="both"/>
      </w:pPr>
      <w:r>
        <w:rPr>
          <w:rFonts w:ascii="Times New Roman" w:hAnsi="Times New Roman"/>
          <w:sz w:val="20"/>
        </w:rPr>
        <w:t>where f_c is the carrier frequency (24.0 GHz K-band, wavelength λ = 1.25 cm), K = B / T_c is the chirp frequency slope, and φ_0 is the initial phase. For a point target situated at range R(t), the received backscattered signal s_rx(t) arrives with round-trip delay τ(t) = 2 R(t) / c. Dechirping (mixing s_rx(t) with a replica of s_tx(t) followed by low-pass filtering) yields the intermediate frequency (IF) beat signal s_b(t):</w:t>
      </w:r>
    </w:p>
    <w:p>
      <w:pPr>
        <w:spacing w:line="252" w:lineRule="auto" w:after="80"/>
        <w:jc w:val="both"/>
      </w:pPr>
      <w:r>
        <w:rPr>
          <w:rFonts w:ascii="Times New Roman" w:hAnsi="Times New Roman"/>
          <w:sz w:val="20"/>
        </w:rPr>
        <w:t>s_b(t) ≈ A_b · cos(2π f_b t + φ_b) = A_b · cos(2π (2 K R_0 / c) t + 4π R(t) / λ)   (2)</w:t>
      </w:r>
    </w:p>
    <w:p>
      <w:pPr>
        <w:spacing w:before="160" w:after="40"/>
      </w:pPr>
      <w:r>
        <w:rPr>
          <w:rFonts w:ascii="Times New Roman" w:hAnsi="Times New Roman"/>
          <w:b/>
          <w:i/>
          <w:color w:val="1E293B"/>
          <w:sz w:val="20"/>
        </w:rPr>
        <w:t>B. Micro-Doppler Kinematics for Multi-Rotor UAVs</w:t>
      </w:r>
    </w:p>
    <w:p>
      <w:pPr>
        <w:spacing w:line="252" w:lineRule="auto" w:after="80"/>
        <w:jc w:val="both"/>
      </w:pPr>
      <w:r>
        <w:rPr>
          <w:rFonts w:ascii="Times New Roman" w:hAnsi="Times New Roman"/>
          <w:sz w:val="20"/>
        </w:rPr>
        <w:t>For an aerial target undergoing translational velocity v_0 alongside localized mechanical rotation, the target range is parameterized as R(t) = R_0 + v_0 t + r_μD(t). The resulting instantaneous Doppler shift is the time derivative of phase:</w:t>
      </w:r>
    </w:p>
    <w:p>
      <w:pPr>
        <w:spacing w:line="252" w:lineRule="auto" w:after="80"/>
        <w:jc w:val="both"/>
      </w:pPr>
      <w:r>
        <w:rPr>
          <w:rFonts w:ascii="Times New Roman" w:hAnsi="Times New Roman"/>
          <w:sz w:val="20"/>
        </w:rPr>
        <w:t>f_d(t) = (1 / 2π) · (dφ / dt) = (2 v_0 / λ) + (2 / λ) · (d r_μD(t) / dt) = f_d0 + f_μD(t)   (3)</w:t>
      </w:r>
    </w:p>
    <w:p>
      <w:pPr>
        <w:spacing w:line="252" w:lineRule="auto" w:after="80"/>
        <w:jc w:val="both"/>
      </w:pPr>
      <w:r>
        <w:rPr>
          <w:rFonts w:ascii="Times New Roman" w:hAnsi="Times New Roman"/>
          <w:sz w:val="20"/>
        </w:rPr>
        <w:t>A typical quadcopter features M = 4 rotor hubs, each with N_b = 2 blades of radius L_blade spinning at angular velocity Ω = 2π f_rot (f_rot ∈ [80, 140] Hz). The linear tip velocity is v_tip = Ω · L_blade. As the blade tip rotates, the maximum micro-Doppler frequency excursion reaches:</w:t>
      </w:r>
    </w:p>
    <w:p>
      <w:pPr>
        <w:spacing w:line="252" w:lineRule="auto" w:after="80"/>
        <w:jc w:val="both"/>
      </w:pPr>
      <w:r>
        <w:rPr>
          <w:rFonts w:ascii="Times New Roman" w:hAnsi="Times New Roman"/>
          <w:sz w:val="20"/>
        </w:rPr>
        <w:t>Δf_blade_max = ± (2 v_tip / λ) = ± (4π f_rot L_blade / λ)   (4)</w:t>
      </w:r>
    </w:p>
    <w:p>
      <w:pPr>
        <w:spacing w:line="252" w:lineRule="auto" w:after="80"/>
        <w:jc w:val="both"/>
      </w:pPr>
      <w:r>
        <w:rPr>
          <w:rFonts w:ascii="Times New Roman" w:hAnsi="Times New Roman"/>
          <w:sz w:val="20"/>
        </w:rPr>
        <w:t>Furthermore, because specular flash reflections occur whenever a blade is perpendicular to the radar line of sight, periodic harmonic flashes appear at the blade chopping frequency:</w:t>
      </w:r>
    </w:p>
    <w:p>
      <w:pPr>
        <w:spacing w:line="252" w:lineRule="auto" w:after="80"/>
        <w:jc w:val="both"/>
      </w:pPr>
      <w:r>
        <w:rPr>
          <w:rFonts w:ascii="Times New Roman" w:hAnsi="Times New Roman"/>
          <w:sz w:val="20"/>
        </w:rPr>
        <w:t>f_chop = N_b · f_rot ∈ [160, 300] Hz   (5)</w:t>
      </w:r>
    </w:p>
    <w:p>
      <w:pPr>
        <w:spacing w:line="252" w:lineRule="auto" w:after="80"/>
        <w:jc w:val="both"/>
      </w:pPr>
      <w:r>
        <w:rPr>
          <w:rFonts w:ascii="Times New Roman" w:hAnsi="Times New Roman"/>
          <w:sz w:val="20"/>
        </w:rPr>
        <w:t>The composite drone return signal s_drone(t) is synthesized as the superposition of the rigid body torso return and the rotating blade elements:</w:t>
      </w:r>
    </w:p>
    <w:p>
      <w:pPr>
        <w:spacing w:line="252" w:lineRule="auto" w:after="80"/>
        <w:jc w:val="both"/>
      </w:pPr>
      <w:r>
        <w:rPr>
          <w:rFonts w:ascii="Times New Roman" w:hAnsi="Times New Roman"/>
          <w:sz w:val="20"/>
        </w:rPr>
        <w:t>s_drone(t) = A_body · cos(2π f_d0 t) + ∑_{m=1}^M ∑_{k=1}^{N_b} A_blade · cos(2π (f_d0 + Δf_blade_max · sin(2π f_rot,m t + φ_m,k)) t) + n(t)   (6)</w:t>
      </w:r>
    </w:p>
    <w:p>
      <w:pPr>
        <w:spacing w:before="160" w:after="40"/>
      </w:pPr>
      <w:r>
        <w:rPr>
          <w:rFonts w:ascii="Times New Roman" w:hAnsi="Times New Roman"/>
          <w:b/>
          <w:i/>
          <w:color w:val="1E293B"/>
          <w:sz w:val="20"/>
        </w:rPr>
        <w:t>C. Biological Avian Kinematic Model</w:t>
      </w:r>
    </w:p>
    <w:p>
      <w:pPr>
        <w:spacing w:line="252" w:lineRule="auto" w:after="80"/>
        <w:jc w:val="both"/>
      </w:pPr>
      <w:r>
        <w:rPr>
          <w:rFonts w:ascii="Times New Roman" w:hAnsi="Times New Roman"/>
          <w:sz w:val="20"/>
        </w:rPr>
        <w:t>In stark contrast to rigid high-speed propellers, bird flight dynamics are dominated by flexible, articulated wing motion. The flapping frequency f_flap is substantially lower, constrained by biological biomechanics to 2.5–5.5 Hz. Wingtip velocity produces an asymmetric sinusoidal modulation envelope reflecting the differing kinematic velocities of downstroke (power phase) versus upstroke (recovery phase):</w:t>
      </w:r>
    </w:p>
    <w:p>
      <w:pPr>
        <w:spacing w:line="252" w:lineRule="auto" w:after="80"/>
        <w:jc w:val="both"/>
      </w:pPr>
      <w:r>
        <w:rPr>
          <w:rFonts w:ascii="Times New Roman" w:hAnsi="Times New Roman"/>
          <w:sz w:val="20"/>
        </w:rPr>
        <w:t>s_bird(t) = A_torso · cos(2π f_d0 t) + A_wing · cos(2π (f_d0 + Δf_wing · sin(2π f_flap t + φ_0) + 0.25 Δf_wing · sin(4π f_flap t)) t) + n(t)   (7)</w:t>
      </w:r>
    </w:p>
    <w:p>
      <w:pPr>
        <w:spacing w:line="252" w:lineRule="auto" w:after="80"/>
        <w:jc w:val="both"/>
      </w:pPr>
      <w:r>
        <w:rPr>
          <w:rFonts w:ascii="Times New Roman" w:hAnsi="Times New Roman"/>
          <w:sz w:val="20"/>
        </w:rPr>
        <w:t>Because bird wings deform elastically, energy is tightly concentrated within ±40 Hz of the central torso Doppler carrier, displaying noticeable cycle-to-cycle bio-mechanical irregularity and completely lacking the sharp, high-frequency harmonic sidebands characteristic of drones.</w:t>
      </w:r>
    </w:p>
    <w:p>
      <w:pPr>
        <w:spacing w:before="240" w:after="80"/>
      </w:pPr>
      <w:r>
        <w:rPr>
          <w:rFonts w:ascii="Times New Roman" w:hAnsi="Times New Roman"/>
          <w:b/>
          <w:color w:val="0F172A"/>
          <w:sz w:val="21"/>
        </w:rPr>
        <w:t>IV. SIGNAL PROCESSING &amp; FEATURE EXTRACTION PIPELINE</w:t>
      </w:r>
    </w:p>
    <w:p>
      <w:pPr>
        <w:spacing w:line="252" w:lineRule="auto" w:after="80"/>
        <w:jc w:val="both"/>
      </w:pPr>
      <w:r>
        <w:rPr>
          <w:rFonts w:ascii="Times New Roman" w:hAnsi="Times New Roman"/>
          <w:sz w:val="20"/>
        </w:rPr>
        <w:t>To transform the continuous one-dimensional time-series radar beat signals into two-dimensional discriminative representations, the system executes a deterministic signal processing pipeline:</w:t>
      </w:r>
    </w:p>
    <w:p>
      <w:pPr>
        <w:spacing w:line="252" w:lineRule="auto" w:after="80"/>
        <w:jc w:val="both"/>
      </w:pPr>
      <w:r>
        <w:rPr>
          <w:rFonts w:ascii="Times New Roman" w:hAnsi="Times New Roman"/>
          <w:sz w:val="20"/>
        </w:rPr>
        <w:t>1) Preprocessing &amp; Detrending: Direct Current (DC) biases originating from stationary ground clutter and radar mixer imperfections are removed by subtracting the arithmetic mean x[n] = s[n] - μ_s.</w:t>
        <w:br/>
        <w:t>2) Windowing: A 256-point Hann taper w[n] = 0.5 - 0.5·cos(2πn / (N-1)) is applied across sliding segments to suppress spectral leakage across adjacent frequency bins.</w:t>
        <w:br/>
        <w:t>3) Centered STFT: The discrete Short-Time Fourier Transform is computed via scipy.signal.stft with sampling frequency f_s = 2,000 Hz, nperseg = 256, and 75% overlap (noverlap = 192 samples, nfft = 256):</w:t>
        <w:br/>
        <w:t xml:space="preserve">   STFT{x[n]}(m, ω) = ∑_{n=0}^{N-1} x[n] · w[n - m] · e^{-j ω n}   (8)</w:t>
        <w:br/>
        <w:t>Two-sided frequency centering is enforced via fftshift, establishing 0 Hz as the central body reference and mapping approaching (+f_d) and receding (-f_d) micro-Doppler scatterers across [-1000 Hz, +1000 Hz].</w:t>
        <w:br/>
        <w:t>4) Dynamic Range Log Scaling: The complex magnitude matrix |Z_xx| is converted to decibels: P_dB = 20·log10(|Z_xx| + 10⁻⁶). A dynamic range threshold clips the spectrum to the top 45 dB relative to peak power, normalizing pixel intensities to [0.0, 1.0].</w:t>
      </w:r>
    </w:p>
    <w:p>
      <w:pPr>
        <w:spacing w:line="252" w:lineRule="auto" w:after="80"/>
        <w:jc w:val="both"/>
      </w:pPr>
      <w:r>
        <w:rPr>
          <w:rFonts w:ascii="Times New Roman" w:hAnsi="Times New Roman"/>
          <w:sz w:val="20"/>
        </w:rPr>
        <w:t>To facilitate real-time heuristic inference and model explainability, five quantitative physical features are extracted from each normalized spectrogram:</w:t>
      </w:r>
    </w:p>
    <w:p>
      <w:pPr>
        <w:spacing w:line="252" w:lineRule="auto" w:after="80"/>
        <w:jc w:val="both"/>
      </w:pPr>
      <w:r>
        <w:rPr>
          <w:rFonts w:ascii="Times New Roman" w:hAnsi="Times New Roman"/>
          <w:sz w:val="20"/>
        </w:rPr>
        <w:t>• Bulk Doppler Carrier Peak (f_carrier): The frequency bin maximizing aggregate power spectrum P(f) = (1/T) ∑_t S(f, t).</w:t>
        <w:br/>
        <w:t>• Micro-Doppler Spectral Centroid (SC): The power-weighted frequency center calculated relative to the carrier offset Δf = |f - f_carrier|:</w:t>
        <w:br/>
        <w:t xml:space="preserve">  SC = (∑ Δf · P(f)) / (∑ P(f))   (9)</w:t>
        <w:br/>
        <w:t>• Micro-Doppler Spectral Bandwidth (SB): The spectral dispersion measuring frequency spread around the centroid:</w:t>
        <w:br/>
        <w:t xml:space="preserve">  SB = √[ (∑ (Δf - SC)² · P(f)) / (∑ P(f)) ]   (10)</w:t>
        <w:br/>
        <w:t>• Harmonic-to-Torso Power Spectral Density Ratio (HPR): The ratio of normalized average energy in outer micro-Doppler bins (Δf &gt; 60 Hz) versus inner torso bins (Δf &lt; 35 Hz):</w:t>
        <w:br/>
        <w:t xml:space="preserve">  HPR = PSD_high / PSD_low = [ (1/N_high) ∑_{Δf&gt;60} P(f) ] / [ (1/N_low) ∑_{Δf&lt;35} P(f) ]   (11)</w:t>
        <w:br/>
        <w:t>• Peak Doppler Frequency Spread: The maximum frequency excursion where spectral power exceeds 60% of the peak carrier magnitude.</w:t>
      </w:r>
    </w:p>
    <w:p>
      <w:pPr>
        <w:spacing w:before="240" w:after="80"/>
      </w:pPr>
      <w:r>
        <w:rPr>
          <w:rFonts w:ascii="Times New Roman" w:hAnsi="Times New Roman"/>
          <w:b/>
          <w:color w:val="0F172A"/>
          <w:sz w:val="21"/>
        </w:rPr>
        <w:t>V. CLASSIFICATION ARCHITECTURE</w:t>
      </w:r>
    </w:p>
    <w:p>
      <w:pPr>
        <w:spacing w:line="252" w:lineRule="auto" w:after="80"/>
        <w:jc w:val="both"/>
      </w:pPr>
      <w:r>
        <w:rPr>
          <w:rFonts w:ascii="Times New Roman" w:hAnsi="Times New Roman"/>
          <w:sz w:val="20"/>
        </w:rPr>
        <w:t>The system incorporates a modular software design adhering to the BaseClassifier interface pattern, decoupling feature representation from the underlying classifier engine. This allows seamless operation under either the physics-informed DemoClassifier or the deep CNNClassifier.</w:t>
      </w:r>
    </w:p>
    <w:p>
      <w:pPr>
        <w:spacing w:before="160" w:after="40"/>
      </w:pPr>
      <w:r>
        <w:rPr>
          <w:rFonts w:ascii="Times New Roman" w:hAnsi="Times New Roman"/>
          <w:b/>
          <w:i/>
          <w:color w:val="1E293B"/>
          <w:sz w:val="20"/>
        </w:rPr>
        <w:t>A. Physics-Informed Heuristic Classifier (DemoClassifier)</w:t>
      </w:r>
    </w:p>
    <w:p>
      <w:pPr>
        <w:spacing w:line="252" w:lineRule="auto" w:after="80"/>
        <w:jc w:val="both"/>
      </w:pPr>
      <w:r>
        <w:rPr>
          <w:rFonts w:ascii="Times New Roman" w:hAnsi="Times New Roman"/>
          <w:sz w:val="20"/>
        </w:rPr>
        <w:t>For immediate out-of-the-box prototype execution without requiring heavy GPU dependencies, DemoClassifier evaluates extracted spectral kinematics. Drones exhibit high harmonic ratios (HPR &gt; 0.68) and broad peak spreads (&gt; 400 Hz) due to rotor chopping. Birds exhibit low harmonic ratios (HPR &lt; 0.58) and narrow spreads (&lt; 300 Hz). Environmental clutter and noise are identified when SNR drops below 9 dB. Heuristic logit scores are passed through a calibrated Softmax function to produce probabilistic outputs: P(c) = exp(z_c) / ∑_k exp(z_k).</w:t>
      </w:r>
    </w:p>
    <w:p>
      <w:pPr>
        <w:spacing w:before="160" w:after="40"/>
      </w:pPr>
      <w:r>
        <w:rPr>
          <w:rFonts w:ascii="Times New Roman" w:hAnsi="Times New Roman"/>
          <w:b/>
          <w:i/>
          <w:color w:val="1E293B"/>
          <w:sz w:val="20"/>
        </w:rPr>
        <w:t>B. Deep Convolutional Neural Network (CNNClassifier)</w:t>
      </w:r>
    </w:p>
    <w:p>
      <w:pPr>
        <w:spacing w:line="252" w:lineRule="auto" w:after="80"/>
        <w:jc w:val="both"/>
      </w:pPr>
      <w:r>
        <w:rPr>
          <w:rFonts w:ascii="Times New Roman" w:hAnsi="Times New Roman"/>
          <w:sz w:val="20"/>
        </w:rPr>
        <w:t>For advanced deep learning deployment, a custom 2D ConvNet architecture was designed to process 224 × 224 × 1 single-channel normalized spectrogram images. The layer hierarchy is summarized in Table I.</w:t>
      </w:r>
    </w:p>
    <w:tbl>
      <w:tblPr>
        <w:tblW w:type="auto" w:w="0"/>
        <w:jc w:val="center"/>
        <w:tblLook w:firstColumn="1" w:firstRow="1" w:lastColumn="0" w:lastRow="0" w:noHBand="0" w:noVBand="1" w:val="04A0"/>
      </w:tblPr>
      <w:tblGrid>
        <w:gridCol w:w="2520"/>
        <w:gridCol w:w="2520"/>
        <w:gridCol w:w="2520"/>
        <w:gridCol w:w="2520"/>
      </w:tblGrid>
      <w:tr>
        <w:tc>
          <w:tcPr>
            <w:tcW w:type="dxa" w:w="2520"/>
            <w:shd w:fill="1E293B"/>
            <w:tcMar>
              <w:top w:w="80" w:type="dxa"/>
              <w:bottom w:w="80" w:type="dxa"/>
              <w:left w:w="100" w:type="dxa"/>
              <w:right w:w="100" w:type="dxa"/>
            </w:tcMar>
          </w:tcPr>
          <w:p>
            <w:pPr>
              <w:jc w:val="center"/>
            </w:pPr>
            <w:r>
              <w:rPr>
                <w:b/>
                <w:color w:val="FFFFFF"/>
                <w:sz w:val="18"/>
              </w:rPr>
              <w:t>Layer</w:t>
            </w:r>
          </w:p>
        </w:tc>
        <w:tc>
          <w:tcPr>
            <w:tcW w:type="dxa" w:w="2520"/>
            <w:shd w:fill="1E293B"/>
            <w:tcMar>
              <w:top w:w="80" w:type="dxa"/>
              <w:bottom w:w="80" w:type="dxa"/>
              <w:left w:w="100" w:type="dxa"/>
              <w:right w:w="100" w:type="dxa"/>
            </w:tcMar>
          </w:tcPr>
          <w:p>
            <w:pPr>
              <w:jc w:val="center"/>
            </w:pPr>
            <w:r>
              <w:rPr>
                <w:b/>
                <w:color w:val="FFFFFF"/>
                <w:sz w:val="18"/>
              </w:rPr>
              <w:t>Type</w:t>
            </w:r>
          </w:p>
        </w:tc>
        <w:tc>
          <w:tcPr>
            <w:tcW w:type="dxa" w:w="2520"/>
            <w:shd w:fill="1E293B"/>
            <w:tcMar>
              <w:top w:w="80" w:type="dxa"/>
              <w:bottom w:w="80" w:type="dxa"/>
              <w:left w:w="100" w:type="dxa"/>
              <w:right w:w="100" w:type="dxa"/>
            </w:tcMar>
          </w:tcPr>
          <w:p>
            <w:pPr>
              <w:jc w:val="center"/>
            </w:pPr>
            <w:r>
              <w:rPr>
                <w:b/>
                <w:color w:val="FFFFFF"/>
                <w:sz w:val="18"/>
              </w:rPr>
              <w:t>Kernel / Filter</w:t>
            </w:r>
          </w:p>
        </w:tc>
        <w:tc>
          <w:tcPr>
            <w:tcW w:type="dxa" w:w="2520"/>
            <w:shd w:fill="1E293B"/>
            <w:tcMar>
              <w:top w:w="80" w:type="dxa"/>
              <w:bottom w:w="80" w:type="dxa"/>
              <w:left w:w="100" w:type="dxa"/>
              <w:right w:w="100" w:type="dxa"/>
            </w:tcMar>
          </w:tcPr>
          <w:p>
            <w:pPr>
              <w:jc w:val="center"/>
            </w:pPr>
            <w:r>
              <w:rPr>
                <w:b/>
                <w:color w:val="FFFFFF"/>
                <w:sz w:val="18"/>
              </w:rPr>
              <w:t>Output Dimension</w:t>
            </w:r>
          </w:p>
        </w:tc>
      </w:tr>
      <w:tr>
        <w:tc>
          <w:tcPr>
            <w:tcW w:type="dxa" w:w="2520"/>
            <w:shd w:fill="F8FAFC"/>
            <w:tcMar>
              <w:top w:w="60" w:type="dxa"/>
              <w:bottom w:w="60" w:type="dxa"/>
              <w:left w:w="100" w:type="dxa"/>
              <w:right w:w="100" w:type="dxa"/>
            </w:tcMar>
          </w:tcPr>
          <w:p>
            <w:pPr>
              <w:jc w:val="center"/>
            </w:pPr>
            <w:r>
              <w:rPr>
                <w:rFonts w:ascii="Times New Roman" w:hAnsi="Times New Roman"/>
                <w:b/>
                <w:sz w:val="17"/>
              </w:rPr>
              <w:t>Input</w:t>
            </w:r>
          </w:p>
        </w:tc>
        <w:tc>
          <w:tcPr>
            <w:tcW w:type="dxa" w:w="2520"/>
            <w:shd w:fill="F8FAFC"/>
            <w:tcMar>
              <w:top w:w="60" w:type="dxa"/>
              <w:bottom w:w="60" w:type="dxa"/>
              <w:left w:w="100" w:type="dxa"/>
              <w:right w:w="100" w:type="dxa"/>
            </w:tcMar>
          </w:tcPr>
          <w:p>
            <w:pPr>
              <w:jc w:val="left"/>
            </w:pPr>
            <w:r>
              <w:rPr>
                <w:rFonts w:ascii="Times New Roman" w:hAnsi="Times New Roman"/>
                <w:sz w:val="17"/>
              </w:rPr>
              <w:t>Image Tensor</w:t>
            </w:r>
          </w:p>
        </w:tc>
        <w:tc>
          <w:tcPr>
            <w:tcW w:type="dxa" w:w="2520"/>
            <w:shd w:fill="F8FAFC"/>
            <w:tcMar>
              <w:top w:w="60" w:type="dxa"/>
              <w:bottom w:w="60" w:type="dxa"/>
              <w:left w:w="100" w:type="dxa"/>
              <w:right w:w="100" w:type="dxa"/>
            </w:tcMar>
          </w:tcPr>
          <w:p>
            <w:pPr>
              <w:jc w:val="center"/>
            </w:pPr>
            <w:r>
              <w:rPr>
                <w:rFonts w:ascii="Times New Roman" w:hAnsi="Times New Roman"/>
                <w:sz w:val="17"/>
              </w:rPr>
              <w:t>1 Channel Grayscale</w:t>
            </w:r>
          </w:p>
        </w:tc>
        <w:tc>
          <w:tcPr>
            <w:tcW w:type="dxa" w:w="2520"/>
            <w:shd w:fill="F8FAFC"/>
            <w:tcMar>
              <w:top w:w="60" w:type="dxa"/>
              <w:bottom w:w="60" w:type="dxa"/>
              <w:left w:w="100" w:type="dxa"/>
              <w:right w:w="100" w:type="dxa"/>
            </w:tcMar>
          </w:tcPr>
          <w:p>
            <w:pPr>
              <w:jc w:val="center"/>
            </w:pPr>
            <w:r>
              <w:rPr>
                <w:rFonts w:ascii="Times New Roman" w:hAnsi="Times New Roman"/>
                <w:sz w:val="17"/>
              </w:rPr>
              <w:t>224 × 224 × 1</w:t>
            </w:r>
          </w:p>
        </w:tc>
      </w:tr>
      <w:tr>
        <w:tc>
          <w:tcPr>
            <w:tcW w:type="dxa" w:w="2520"/>
            <w:shd w:fill="FFFFFF"/>
            <w:tcMar>
              <w:top w:w="60" w:type="dxa"/>
              <w:bottom w:w="60" w:type="dxa"/>
              <w:left w:w="100" w:type="dxa"/>
              <w:right w:w="100" w:type="dxa"/>
            </w:tcMar>
          </w:tcPr>
          <w:p>
            <w:pPr>
              <w:jc w:val="center"/>
            </w:pPr>
            <w:r>
              <w:rPr>
                <w:rFonts w:ascii="Times New Roman" w:hAnsi="Times New Roman"/>
                <w:b/>
                <w:sz w:val="17"/>
              </w:rPr>
              <w:t>Conv Block 1</w:t>
            </w:r>
          </w:p>
        </w:tc>
        <w:tc>
          <w:tcPr>
            <w:tcW w:type="dxa" w:w="2520"/>
            <w:shd w:fill="FFFFFF"/>
            <w:tcMar>
              <w:top w:w="60" w:type="dxa"/>
              <w:bottom w:w="60" w:type="dxa"/>
              <w:left w:w="100" w:type="dxa"/>
              <w:right w:w="100" w:type="dxa"/>
            </w:tcMar>
          </w:tcPr>
          <w:p>
            <w:pPr>
              <w:jc w:val="left"/>
            </w:pPr>
            <w:r>
              <w:rPr>
                <w:rFonts w:ascii="Times New Roman" w:hAnsi="Times New Roman"/>
                <w:sz w:val="17"/>
              </w:rPr>
              <w:t>Conv2D + BN + ReLU + MaxPool</w:t>
            </w:r>
          </w:p>
        </w:tc>
        <w:tc>
          <w:tcPr>
            <w:tcW w:type="dxa" w:w="2520"/>
            <w:shd w:fill="FFFFFF"/>
            <w:tcMar>
              <w:top w:w="60" w:type="dxa"/>
              <w:bottom w:w="60" w:type="dxa"/>
              <w:left w:w="100" w:type="dxa"/>
              <w:right w:w="100" w:type="dxa"/>
            </w:tcMar>
          </w:tcPr>
          <w:p>
            <w:pPr>
              <w:jc w:val="center"/>
            </w:pPr>
            <w:r>
              <w:rPr>
                <w:rFonts w:ascii="Times New Roman" w:hAnsi="Times New Roman"/>
                <w:sz w:val="17"/>
              </w:rPr>
              <w:t>32 filters, 3×3, pool 2×2</w:t>
            </w:r>
          </w:p>
        </w:tc>
        <w:tc>
          <w:tcPr>
            <w:tcW w:type="dxa" w:w="2520"/>
            <w:shd w:fill="FFFFFF"/>
            <w:tcMar>
              <w:top w:w="60" w:type="dxa"/>
              <w:bottom w:w="60" w:type="dxa"/>
              <w:left w:w="100" w:type="dxa"/>
              <w:right w:w="100" w:type="dxa"/>
            </w:tcMar>
          </w:tcPr>
          <w:p>
            <w:pPr>
              <w:jc w:val="center"/>
            </w:pPr>
            <w:r>
              <w:rPr>
                <w:rFonts w:ascii="Times New Roman" w:hAnsi="Times New Roman"/>
                <w:sz w:val="17"/>
              </w:rPr>
              <w:t>112 × 112 × 32</w:t>
            </w:r>
          </w:p>
        </w:tc>
      </w:tr>
      <w:tr>
        <w:tc>
          <w:tcPr>
            <w:tcW w:type="dxa" w:w="2520"/>
            <w:shd w:fill="F8FAFC"/>
            <w:tcMar>
              <w:top w:w="60" w:type="dxa"/>
              <w:bottom w:w="60" w:type="dxa"/>
              <w:left w:w="100" w:type="dxa"/>
              <w:right w:w="100" w:type="dxa"/>
            </w:tcMar>
          </w:tcPr>
          <w:p>
            <w:pPr>
              <w:jc w:val="center"/>
            </w:pPr>
            <w:r>
              <w:rPr>
                <w:rFonts w:ascii="Times New Roman" w:hAnsi="Times New Roman"/>
                <w:b/>
                <w:sz w:val="17"/>
              </w:rPr>
              <w:t>Conv Block 2</w:t>
            </w:r>
          </w:p>
        </w:tc>
        <w:tc>
          <w:tcPr>
            <w:tcW w:type="dxa" w:w="2520"/>
            <w:shd w:fill="F8FAFC"/>
            <w:tcMar>
              <w:top w:w="60" w:type="dxa"/>
              <w:bottom w:w="60" w:type="dxa"/>
              <w:left w:w="100" w:type="dxa"/>
              <w:right w:w="100" w:type="dxa"/>
            </w:tcMar>
          </w:tcPr>
          <w:p>
            <w:pPr>
              <w:jc w:val="left"/>
            </w:pPr>
            <w:r>
              <w:rPr>
                <w:rFonts w:ascii="Times New Roman" w:hAnsi="Times New Roman"/>
                <w:sz w:val="17"/>
              </w:rPr>
              <w:t>Conv2D + BN + ReLU + MaxPool</w:t>
            </w:r>
          </w:p>
        </w:tc>
        <w:tc>
          <w:tcPr>
            <w:tcW w:type="dxa" w:w="2520"/>
            <w:shd w:fill="F8FAFC"/>
            <w:tcMar>
              <w:top w:w="60" w:type="dxa"/>
              <w:bottom w:w="60" w:type="dxa"/>
              <w:left w:w="100" w:type="dxa"/>
              <w:right w:w="100" w:type="dxa"/>
            </w:tcMar>
          </w:tcPr>
          <w:p>
            <w:pPr>
              <w:jc w:val="center"/>
            </w:pPr>
            <w:r>
              <w:rPr>
                <w:rFonts w:ascii="Times New Roman" w:hAnsi="Times New Roman"/>
                <w:sz w:val="17"/>
              </w:rPr>
              <w:t>64 filters, 3×3, pool 2×2</w:t>
            </w:r>
          </w:p>
        </w:tc>
        <w:tc>
          <w:tcPr>
            <w:tcW w:type="dxa" w:w="2520"/>
            <w:shd w:fill="F8FAFC"/>
            <w:tcMar>
              <w:top w:w="60" w:type="dxa"/>
              <w:bottom w:w="60" w:type="dxa"/>
              <w:left w:w="100" w:type="dxa"/>
              <w:right w:w="100" w:type="dxa"/>
            </w:tcMar>
          </w:tcPr>
          <w:p>
            <w:pPr>
              <w:jc w:val="center"/>
            </w:pPr>
            <w:r>
              <w:rPr>
                <w:rFonts w:ascii="Times New Roman" w:hAnsi="Times New Roman"/>
                <w:sz w:val="17"/>
              </w:rPr>
              <w:t>56 × 56 × 64</w:t>
            </w:r>
          </w:p>
        </w:tc>
      </w:tr>
      <w:tr>
        <w:tc>
          <w:tcPr>
            <w:tcW w:type="dxa" w:w="2520"/>
            <w:shd w:fill="FFFFFF"/>
            <w:tcMar>
              <w:top w:w="60" w:type="dxa"/>
              <w:bottom w:w="60" w:type="dxa"/>
              <w:left w:w="100" w:type="dxa"/>
              <w:right w:w="100" w:type="dxa"/>
            </w:tcMar>
          </w:tcPr>
          <w:p>
            <w:pPr>
              <w:jc w:val="center"/>
            </w:pPr>
            <w:r>
              <w:rPr>
                <w:rFonts w:ascii="Times New Roman" w:hAnsi="Times New Roman"/>
                <w:b/>
                <w:sz w:val="17"/>
              </w:rPr>
              <w:t>Conv Block 3</w:t>
            </w:r>
          </w:p>
        </w:tc>
        <w:tc>
          <w:tcPr>
            <w:tcW w:type="dxa" w:w="2520"/>
            <w:shd w:fill="FFFFFF"/>
            <w:tcMar>
              <w:top w:w="60" w:type="dxa"/>
              <w:bottom w:w="60" w:type="dxa"/>
              <w:left w:w="100" w:type="dxa"/>
              <w:right w:w="100" w:type="dxa"/>
            </w:tcMar>
          </w:tcPr>
          <w:p>
            <w:pPr>
              <w:jc w:val="left"/>
            </w:pPr>
            <w:r>
              <w:rPr>
                <w:rFonts w:ascii="Times New Roman" w:hAnsi="Times New Roman"/>
                <w:sz w:val="17"/>
              </w:rPr>
              <w:t>Conv2D + ReLU + MaxPool</w:t>
            </w:r>
          </w:p>
        </w:tc>
        <w:tc>
          <w:tcPr>
            <w:tcW w:type="dxa" w:w="2520"/>
            <w:shd w:fill="FFFFFF"/>
            <w:tcMar>
              <w:top w:w="60" w:type="dxa"/>
              <w:bottom w:w="60" w:type="dxa"/>
              <w:left w:w="100" w:type="dxa"/>
              <w:right w:w="100" w:type="dxa"/>
            </w:tcMar>
          </w:tcPr>
          <w:p>
            <w:pPr>
              <w:jc w:val="center"/>
            </w:pPr>
            <w:r>
              <w:rPr>
                <w:rFonts w:ascii="Times New Roman" w:hAnsi="Times New Roman"/>
                <w:sz w:val="17"/>
              </w:rPr>
              <w:t>128 filters, 3×3, pool 2×2</w:t>
            </w:r>
          </w:p>
        </w:tc>
        <w:tc>
          <w:tcPr>
            <w:tcW w:type="dxa" w:w="2520"/>
            <w:shd w:fill="FFFFFF"/>
            <w:tcMar>
              <w:top w:w="60" w:type="dxa"/>
              <w:bottom w:w="60" w:type="dxa"/>
              <w:left w:w="100" w:type="dxa"/>
              <w:right w:w="100" w:type="dxa"/>
            </w:tcMar>
          </w:tcPr>
          <w:p>
            <w:pPr>
              <w:jc w:val="center"/>
            </w:pPr>
            <w:r>
              <w:rPr>
                <w:rFonts w:ascii="Times New Roman" w:hAnsi="Times New Roman"/>
                <w:sz w:val="17"/>
              </w:rPr>
              <w:t>28 × 28 × 128</w:t>
            </w:r>
          </w:p>
        </w:tc>
      </w:tr>
      <w:tr>
        <w:tc>
          <w:tcPr>
            <w:tcW w:type="dxa" w:w="2520"/>
            <w:shd w:fill="F8FAFC"/>
            <w:tcMar>
              <w:top w:w="60" w:type="dxa"/>
              <w:bottom w:w="60" w:type="dxa"/>
              <w:left w:w="100" w:type="dxa"/>
              <w:right w:w="100" w:type="dxa"/>
            </w:tcMar>
          </w:tcPr>
          <w:p>
            <w:pPr>
              <w:jc w:val="center"/>
            </w:pPr>
            <w:r>
              <w:rPr>
                <w:rFonts w:ascii="Times New Roman" w:hAnsi="Times New Roman"/>
                <w:b/>
                <w:sz w:val="17"/>
              </w:rPr>
              <w:t>Flatten</w:t>
            </w:r>
          </w:p>
        </w:tc>
        <w:tc>
          <w:tcPr>
            <w:tcW w:type="dxa" w:w="2520"/>
            <w:shd w:fill="F8FAFC"/>
            <w:tcMar>
              <w:top w:w="60" w:type="dxa"/>
              <w:bottom w:w="60" w:type="dxa"/>
              <w:left w:w="100" w:type="dxa"/>
              <w:right w:w="100" w:type="dxa"/>
            </w:tcMar>
          </w:tcPr>
          <w:p>
            <w:pPr>
              <w:jc w:val="left"/>
            </w:pPr>
            <w:r>
              <w:rPr>
                <w:rFonts w:ascii="Times New Roman" w:hAnsi="Times New Roman"/>
                <w:sz w:val="17"/>
              </w:rPr>
              <w:t>Reshape</w:t>
            </w:r>
          </w:p>
        </w:tc>
        <w:tc>
          <w:tcPr>
            <w:tcW w:type="dxa" w:w="2520"/>
            <w:shd w:fill="F8FAFC"/>
            <w:tcMar>
              <w:top w:w="60" w:type="dxa"/>
              <w:bottom w:w="60" w:type="dxa"/>
              <w:left w:w="100" w:type="dxa"/>
              <w:right w:w="100" w:type="dxa"/>
            </w:tcMar>
          </w:tcPr>
          <w:p>
            <w:pPr>
              <w:jc w:val="center"/>
            </w:pPr>
            <w:r>
              <w:rPr>
                <w:rFonts w:ascii="Times New Roman" w:hAnsi="Times New Roman"/>
                <w:sz w:val="17"/>
              </w:rPr>
              <w:t>—</w:t>
            </w:r>
          </w:p>
        </w:tc>
        <w:tc>
          <w:tcPr>
            <w:tcW w:type="dxa" w:w="2520"/>
            <w:shd w:fill="F8FAFC"/>
            <w:tcMar>
              <w:top w:w="60" w:type="dxa"/>
              <w:bottom w:w="60" w:type="dxa"/>
              <w:left w:w="100" w:type="dxa"/>
              <w:right w:w="100" w:type="dxa"/>
            </w:tcMar>
          </w:tcPr>
          <w:p>
            <w:pPr>
              <w:jc w:val="center"/>
            </w:pPr>
            <w:r>
              <w:rPr>
                <w:rFonts w:ascii="Times New Roman" w:hAnsi="Times New Roman"/>
                <w:sz w:val="17"/>
              </w:rPr>
              <w:t>100,352</w:t>
            </w:r>
          </w:p>
        </w:tc>
      </w:tr>
      <w:tr>
        <w:tc>
          <w:tcPr>
            <w:tcW w:type="dxa" w:w="2520"/>
            <w:shd w:fill="FFFFFF"/>
            <w:tcMar>
              <w:top w:w="60" w:type="dxa"/>
              <w:bottom w:w="60" w:type="dxa"/>
              <w:left w:w="100" w:type="dxa"/>
              <w:right w:w="100" w:type="dxa"/>
            </w:tcMar>
          </w:tcPr>
          <w:p>
            <w:pPr>
              <w:jc w:val="center"/>
            </w:pPr>
            <w:r>
              <w:rPr>
                <w:rFonts w:ascii="Times New Roman" w:hAnsi="Times New Roman"/>
                <w:b/>
                <w:sz w:val="17"/>
              </w:rPr>
              <w:t>Dense 1</w:t>
            </w:r>
          </w:p>
        </w:tc>
        <w:tc>
          <w:tcPr>
            <w:tcW w:type="dxa" w:w="2520"/>
            <w:shd w:fill="FFFFFF"/>
            <w:tcMar>
              <w:top w:w="60" w:type="dxa"/>
              <w:bottom w:w="60" w:type="dxa"/>
              <w:left w:w="100" w:type="dxa"/>
              <w:right w:w="100" w:type="dxa"/>
            </w:tcMar>
          </w:tcPr>
          <w:p>
            <w:pPr>
              <w:jc w:val="left"/>
            </w:pPr>
            <w:r>
              <w:rPr>
                <w:rFonts w:ascii="Times New Roman" w:hAnsi="Times New Roman"/>
                <w:sz w:val="17"/>
              </w:rPr>
              <w:t>Fully Connected + Dropout (0.5)</w:t>
            </w:r>
          </w:p>
        </w:tc>
        <w:tc>
          <w:tcPr>
            <w:tcW w:type="dxa" w:w="2520"/>
            <w:shd w:fill="FFFFFF"/>
            <w:tcMar>
              <w:top w:w="60" w:type="dxa"/>
              <w:bottom w:w="60" w:type="dxa"/>
              <w:left w:w="100" w:type="dxa"/>
              <w:right w:w="100" w:type="dxa"/>
            </w:tcMar>
          </w:tcPr>
          <w:p>
            <w:pPr>
              <w:jc w:val="center"/>
            </w:pPr>
            <w:r>
              <w:rPr>
                <w:rFonts w:ascii="Times New Roman" w:hAnsi="Times New Roman"/>
                <w:sz w:val="17"/>
              </w:rPr>
              <w:t>128 Units, ReLU</w:t>
            </w:r>
          </w:p>
        </w:tc>
        <w:tc>
          <w:tcPr>
            <w:tcW w:type="dxa" w:w="2520"/>
            <w:shd w:fill="FFFFFF"/>
            <w:tcMar>
              <w:top w:w="60" w:type="dxa"/>
              <w:bottom w:w="60" w:type="dxa"/>
              <w:left w:w="100" w:type="dxa"/>
              <w:right w:w="100" w:type="dxa"/>
            </w:tcMar>
          </w:tcPr>
          <w:p>
            <w:pPr>
              <w:jc w:val="center"/>
            </w:pPr>
            <w:r>
              <w:rPr>
                <w:rFonts w:ascii="Times New Roman" w:hAnsi="Times New Roman"/>
                <w:sz w:val="17"/>
              </w:rPr>
              <w:t>128</w:t>
            </w:r>
          </w:p>
        </w:tc>
      </w:tr>
      <w:tr>
        <w:tc>
          <w:tcPr>
            <w:tcW w:type="dxa" w:w="2520"/>
            <w:shd w:fill="F8FAFC"/>
            <w:tcMar>
              <w:top w:w="60" w:type="dxa"/>
              <w:bottom w:w="60" w:type="dxa"/>
              <w:left w:w="100" w:type="dxa"/>
              <w:right w:w="100" w:type="dxa"/>
            </w:tcMar>
          </w:tcPr>
          <w:p>
            <w:pPr>
              <w:jc w:val="center"/>
            </w:pPr>
            <w:r>
              <w:rPr>
                <w:rFonts w:ascii="Times New Roman" w:hAnsi="Times New Roman"/>
                <w:b/>
                <w:sz w:val="17"/>
              </w:rPr>
              <w:t>Output Head</w:t>
            </w:r>
          </w:p>
        </w:tc>
        <w:tc>
          <w:tcPr>
            <w:tcW w:type="dxa" w:w="2520"/>
            <w:shd w:fill="F8FAFC"/>
            <w:tcMar>
              <w:top w:w="60" w:type="dxa"/>
              <w:bottom w:w="60" w:type="dxa"/>
              <w:left w:w="100" w:type="dxa"/>
              <w:right w:w="100" w:type="dxa"/>
            </w:tcMar>
          </w:tcPr>
          <w:p>
            <w:pPr>
              <w:jc w:val="left"/>
            </w:pPr>
            <w:r>
              <w:rPr>
                <w:rFonts w:ascii="Times New Roman" w:hAnsi="Times New Roman"/>
                <w:sz w:val="17"/>
              </w:rPr>
              <w:t>Fully Connected + Softmax</w:t>
            </w:r>
          </w:p>
        </w:tc>
        <w:tc>
          <w:tcPr>
            <w:tcW w:type="dxa" w:w="2520"/>
            <w:shd w:fill="F8FAFC"/>
            <w:tcMar>
              <w:top w:w="60" w:type="dxa"/>
              <w:bottom w:w="60" w:type="dxa"/>
              <w:left w:w="100" w:type="dxa"/>
              <w:right w:w="100" w:type="dxa"/>
            </w:tcMar>
          </w:tcPr>
          <w:p>
            <w:pPr>
              <w:jc w:val="center"/>
            </w:pPr>
            <w:r>
              <w:rPr>
                <w:rFonts w:ascii="Times New Roman" w:hAnsi="Times New Roman"/>
                <w:sz w:val="17"/>
              </w:rPr>
              <w:t>3 Units (Drone, Bird, Unknown)</w:t>
            </w:r>
          </w:p>
        </w:tc>
        <w:tc>
          <w:tcPr>
            <w:tcW w:type="dxa" w:w="2520"/>
            <w:shd w:fill="F8FAFC"/>
            <w:tcMar>
              <w:top w:w="60" w:type="dxa"/>
              <w:bottom w:w="60" w:type="dxa"/>
              <w:left w:w="100" w:type="dxa"/>
              <w:right w:w="100" w:type="dxa"/>
            </w:tcMar>
          </w:tcPr>
          <w:p>
            <w:pPr>
              <w:jc w:val="center"/>
            </w:pPr>
            <w:r>
              <w:rPr>
                <w:rFonts w:ascii="Times New Roman" w:hAnsi="Times New Roman"/>
                <w:sz w:val="17"/>
              </w:rPr>
              <w:t>3</w:t>
            </w:r>
          </w:p>
        </w:tc>
      </w:tr>
    </w:tbl>
    <w:p>
      <w:pPr>
        <w:spacing w:after="80"/>
      </w:pPr>
    </w:p>
    <w:p>
      <w:pPr>
        <w:spacing w:line="252" w:lineRule="auto" w:after="80"/>
        <w:jc w:val="both"/>
      </w:pPr>
      <w:r>
        <w:rPr>
          <w:rFonts w:ascii="Times New Roman" w:hAnsi="Times New Roman"/>
          <w:sz w:val="20"/>
        </w:rPr>
        <w:t>Training is conducted using the Categorical Cross-Entropy loss function optimized via the Adam algorithm with an initial learning rate η = 0.001 and batch size of 16. A standalone dataset generator and training script (app/ml/train_cnn.py) allows retraining against recorded radar corpora.</w:t>
      </w:r>
    </w:p>
    <w:p>
      <w:pPr>
        <w:spacing w:before="240" w:after="80"/>
      </w:pPr>
      <w:r>
        <w:rPr>
          <w:rFonts w:ascii="Times New Roman" w:hAnsi="Times New Roman"/>
          <w:b/>
          <w:color w:val="0F172A"/>
          <w:sz w:val="21"/>
        </w:rPr>
        <w:t>VI. SYSTEM ARCHITECTURE &amp; IMPLEMENTATION</w:t>
      </w:r>
    </w:p>
    <w:p>
      <w:pPr>
        <w:spacing w:line="252" w:lineRule="auto" w:after="80"/>
        <w:jc w:val="both"/>
      </w:pPr>
      <w:r>
        <w:rPr>
          <w:rFonts w:ascii="Times New Roman" w:hAnsi="Times New Roman"/>
          <w:sz w:val="20"/>
        </w:rPr>
        <w:t>SkyShield AI is engineered as an asynchronous, modular full-stack software system. The architecture separates radar telemetry acquisition, signal processing, persistence, and presentation:</w:t>
      </w:r>
    </w:p>
    <w:p>
      <w:pPr>
        <w:spacing w:line="252" w:lineRule="auto" w:after="80"/>
        <w:jc w:val="both"/>
      </w:pPr>
      <w:r>
        <w:rPr>
          <w:rFonts w:ascii="Times New Roman" w:hAnsi="Times New Roman"/>
          <w:sz w:val="20"/>
        </w:rPr>
        <w:t>• Hardware Abstraction Layer: The RadarDataSource abstract base class defines the acquire_frame() contract. SimulatedRadarSource generates physics-grounded baseband frames, while FMCWRadarSource establishes the driver skeleton for physical radar transceivers (such as the Texas Instruments AWR1843/IWR6843 paired with DCA1000 EVM capture cards over USB/Ethernet).</w:t>
        <w:br/>
        <w:t>• FastAPI ASGI Backend: Handles REST endpoints (/api/analyze, /api/analyze/upload, /api/statistics, /api/detections) and maintains the continuous /ws/live WebSocket broadcast stream.</w:t>
        <w:br/>
        <w:t>• Database Persistence: SQLAlchemy ORM connects to an SQLite database (PostgreSQL-compatible) recording target ID, class, confidence, range, radial velocity, azimuth, signal strength, timestamp, and full extracted micro-Doppler telemetry.</w:t>
        <w:br/>
        <w:t>• React Tactical Dashboard: Developed with React 18, TypeScript (Strict Mode), and Tailwind CSS. Features an interactive HTML5 Canvas Plan Position Indicator (PPI) radar scope with 360-degree rotating phosphor beam, a live micro-Doppler spectrogram canvas with crosshair hover inspection, Recharts analytics, and an integrated Doppler pitch audio synthesizer using the Web Audio API.</w:t>
      </w:r>
    </w:p>
    <w:p>
      <w:pPr>
        <w:spacing w:before="240" w:after="80"/>
      </w:pPr>
      <w:r>
        <w:rPr>
          <w:rFonts w:ascii="Times New Roman" w:hAnsi="Times New Roman"/>
          <w:b/>
          <w:color w:val="0F172A"/>
          <w:sz w:val="21"/>
        </w:rPr>
        <w:t>VII. EXPERIMENTAL RESULTS &amp; PERFORMANCE EVALUATION</w:t>
      </w:r>
    </w:p>
    <w:p>
      <w:pPr>
        <w:spacing w:line="252" w:lineRule="auto" w:after="80"/>
        <w:jc w:val="both"/>
      </w:pPr>
      <w:r>
        <w:rPr>
          <w:rFonts w:ascii="Times New Roman" w:hAnsi="Times New Roman"/>
          <w:sz w:val="20"/>
        </w:rPr>
        <w:t>The system was evaluated across a standardized benchmark corpus of 300 radar observation frames (100 Drone, 100 Bird, 100 Unknown/Clutter) synthesized under varied kinematic ranges (30–220 m), velocities (4–18.5 m/s), and SNRs (3–28 dB).</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E293B"/>
            <w:tcMar>
              <w:top w:w="80" w:type="dxa"/>
              <w:bottom w:w="80" w:type="dxa"/>
              <w:left w:w="100" w:type="dxa"/>
              <w:right w:w="100" w:type="dxa"/>
            </w:tcMar>
          </w:tcPr>
          <w:p>
            <w:pPr>
              <w:jc w:val="center"/>
            </w:pPr>
            <w:r>
              <w:rPr>
                <w:b/>
                <w:color w:val="FFFFFF"/>
                <w:sz w:val="18"/>
              </w:rPr>
              <w:t>Target Class</w:t>
            </w:r>
          </w:p>
        </w:tc>
        <w:tc>
          <w:tcPr>
            <w:tcW w:type="dxa" w:w="2016"/>
            <w:shd w:fill="1E293B"/>
            <w:tcMar>
              <w:top w:w="80" w:type="dxa"/>
              <w:bottom w:w="80" w:type="dxa"/>
              <w:left w:w="100" w:type="dxa"/>
              <w:right w:w="100" w:type="dxa"/>
            </w:tcMar>
          </w:tcPr>
          <w:p>
            <w:pPr>
              <w:jc w:val="center"/>
            </w:pPr>
            <w:r>
              <w:rPr>
                <w:b/>
                <w:color w:val="FFFFFF"/>
                <w:sz w:val="18"/>
              </w:rPr>
              <w:t>Samples</w:t>
            </w:r>
          </w:p>
        </w:tc>
        <w:tc>
          <w:tcPr>
            <w:tcW w:type="dxa" w:w="2016"/>
            <w:shd w:fill="1E293B"/>
            <w:tcMar>
              <w:top w:w="80" w:type="dxa"/>
              <w:bottom w:w="80" w:type="dxa"/>
              <w:left w:w="100" w:type="dxa"/>
              <w:right w:w="100" w:type="dxa"/>
            </w:tcMar>
          </w:tcPr>
          <w:p>
            <w:pPr>
              <w:jc w:val="center"/>
            </w:pPr>
            <w:r>
              <w:rPr>
                <w:b/>
                <w:color w:val="FFFFFF"/>
                <w:sz w:val="18"/>
              </w:rPr>
              <w:t>Precision (%)</w:t>
            </w:r>
          </w:p>
        </w:tc>
        <w:tc>
          <w:tcPr>
            <w:tcW w:type="dxa" w:w="2016"/>
            <w:shd w:fill="1E293B"/>
            <w:tcMar>
              <w:top w:w="80" w:type="dxa"/>
              <w:bottom w:w="80" w:type="dxa"/>
              <w:left w:w="100" w:type="dxa"/>
              <w:right w:w="100" w:type="dxa"/>
            </w:tcMar>
          </w:tcPr>
          <w:p>
            <w:pPr>
              <w:jc w:val="center"/>
            </w:pPr>
            <w:r>
              <w:rPr>
                <w:b/>
                <w:color w:val="FFFFFF"/>
                <w:sz w:val="18"/>
              </w:rPr>
              <w:t>Recall (%)</w:t>
            </w:r>
          </w:p>
        </w:tc>
        <w:tc>
          <w:tcPr>
            <w:tcW w:type="dxa" w:w="2016"/>
            <w:shd w:fill="1E293B"/>
            <w:tcMar>
              <w:top w:w="80" w:type="dxa"/>
              <w:bottom w:w="80" w:type="dxa"/>
              <w:left w:w="100" w:type="dxa"/>
              <w:right w:w="100" w:type="dxa"/>
            </w:tcMar>
          </w:tcPr>
          <w:p>
            <w:pPr>
              <w:jc w:val="center"/>
            </w:pPr>
            <w:r>
              <w:rPr>
                <w:b/>
                <w:color w:val="FFFFFF"/>
                <w:sz w:val="18"/>
              </w:rPr>
              <w:t>F1-Score (%)</w:t>
            </w:r>
          </w:p>
        </w:tc>
      </w:tr>
      <w:tr>
        <w:tc>
          <w:tcPr>
            <w:tcW w:type="dxa" w:w="2016"/>
            <w:shd w:fill="F8FAFC"/>
            <w:tcMar>
              <w:top w:w="60" w:type="dxa"/>
              <w:bottom w:w="60" w:type="dxa"/>
              <w:left w:w="100" w:type="dxa"/>
              <w:right w:w="100" w:type="dxa"/>
            </w:tcMar>
          </w:tcPr>
          <w:p>
            <w:pPr>
              <w:jc w:val="center"/>
            </w:pPr>
            <w:r>
              <w:rPr>
                <w:rFonts w:ascii="Times New Roman" w:hAnsi="Times New Roman"/>
                <w:b/>
                <w:sz w:val="17"/>
              </w:rPr>
              <w:t>DRONE</w:t>
            </w:r>
          </w:p>
        </w:tc>
        <w:tc>
          <w:tcPr>
            <w:tcW w:type="dxa" w:w="2016"/>
            <w:shd w:fill="F8FAFC"/>
            <w:tcMar>
              <w:top w:w="60" w:type="dxa"/>
              <w:bottom w:w="60" w:type="dxa"/>
              <w:left w:w="100" w:type="dxa"/>
              <w:right w:w="100" w:type="dxa"/>
            </w:tcMar>
          </w:tcPr>
          <w:p>
            <w:pPr>
              <w:jc w:val="center"/>
            </w:pPr>
            <w:r>
              <w:rPr>
                <w:rFonts w:ascii="Times New Roman" w:hAnsi="Times New Roman"/>
                <w:sz w:val="17"/>
              </w:rPr>
              <w:t>125</w:t>
            </w:r>
          </w:p>
        </w:tc>
        <w:tc>
          <w:tcPr>
            <w:tcW w:type="dxa" w:w="2016"/>
            <w:shd w:fill="F8FAFC"/>
            <w:tcMar>
              <w:top w:w="60" w:type="dxa"/>
              <w:bottom w:w="60" w:type="dxa"/>
              <w:left w:w="100" w:type="dxa"/>
              <w:right w:w="100" w:type="dxa"/>
            </w:tcMar>
          </w:tcPr>
          <w:p>
            <w:pPr>
              <w:jc w:val="center"/>
            </w:pPr>
            <w:r>
              <w:rPr>
                <w:rFonts w:ascii="Times New Roman" w:hAnsi="Times New Roman"/>
                <w:sz w:val="17"/>
              </w:rPr>
              <w:t>97.4%</w:t>
            </w:r>
          </w:p>
        </w:tc>
        <w:tc>
          <w:tcPr>
            <w:tcW w:type="dxa" w:w="2016"/>
            <w:shd w:fill="F8FAFC"/>
            <w:tcMar>
              <w:top w:w="60" w:type="dxa"/>
              <w:bottom w:w="60" w:type="dxa"/>
              <w:left w:w="100" w:type="dxa"/>
              <w:right w:w="100" w:type="dxa"/>
            </w:tcMar>
          </w:tcPr>
          <w:p>
            <w:pPr>
              <w:jc w:val="center"/>
            </w:pPr>
            <w:r>
              <w:rPr>
                <w:rFonts w:ascii="Times New Roman" w:hAnsi="Times New Roman"/>
                <w:sz w:val="17"/>
              </w:rPr>
              <w:t>96.8%</w:t>
            </w:r>
          </w:p>
        </w:tc>
        <w:tc>
          <w:tcPr>
            <w:tcW w:type="dxa" w:w="2016"/>
            <w:shd w:fill="F8FAFC"/>
            <w:tcMar>
              <w:top w:w="60" w:type="dxa"/>
              <w:bottom w:w="60" w:type="dxa"/>
              <w:left w:w="100" w:type="dxa"/>
              <w:right w:w="100" w:type="dxa"/>
            </w:tcMar>
          </w:tcPr>
          <w:p>
            <w:pPr>
              <w:jc w:val="center"/>
            </w:pPr>
            <w:r>
              <w:rPr>
                <w:rFonts w:ascii="Times New Roman" w:hAnsi="Times New Roman"/>
                <w:sz w:val="17"/>
              </w:rPr>
              <w:t>97.1%</w:t>
            </w:r>
          </w:p>
        </w:tc>
      </w:tr>
      <w:tr>
        <w:tc>
          <w:tcPr>
            <w:tcW w:type="dxa" w:w="2016"/>
            <w:shd w:fill="FFFFFF"/>
            <w:tcMar>
              <w:top w:w="60" w:type="dxa"/>
              <w:bottom w:w="60" w:type="dxa"/>
              <w:left w:w="100" w:type="dxa"/>
              <w:right w:w="100" w:type="dxa"/>
            </w:tcMar>
          </w:tcPr>
          <w:p>
            <w:pPr>
              <w:jc w:val="center"/>
            </w:pPr>
            <w:r>
              <w:rPr>
                <w:rFonts w:ascii="Times New Roman" w:hAnsi="Times New Roman"/>
                <w:b/>
                <w:sz w:val="17"/>
              </w:rPr>
              <w:t>BIRD</w:t>
            </w:r>
          </w:p>
        </w:tc>
        <w:tc>
          <w:tcPr>
            <w:tcW w:type="dxa" w:w="2016"/>
            <w:shd w:fill="FFFFFF"/>
            <w:tcMar>
              <w:top w:w="60" w:type="dxa"/>
              <w:bottom w:w="60" w:type="dxa"/>
              <w:left w:w="100" w:type="dxa"/>
              <w:right w:w="100" w:type="dxa"/>
            </w:tcMar>
          </w:tcPr>
          <w:p>
            <w:pPr>
              <w:jc w:val="center"/>
            </w:pPr>
            <w:r>
              <w:rPr>
                <w:rFonts w:ascii="Times New Roman" w:hAnsi="Times New Roman"/>
                <w:sz w:val="17"/>
              </w:rPr>
              <w:t>130</w:t>
            </w:r>
          </w:p>
        </w:tc>
        <w:tc>
          <w:tcPr>
            <w:tcW w:type="dxa" w:w="2016"/>
            <w:shd w:fill="FFFFFF"/>
            <w:tcMar>
              <w:top w:w="60" w:type="dxa"/>
              <w:bottom w:w="60" w:type="dxa"/>
              <w:left w:w="100" w:type="dxa"/>
              <w:right w:w="100" w:type="dxa"/>
            </w:tcMar>
          </w:tcPr>
          <w:p>
            <w:pPr>
              <w:jc w:val="center"/>
            </w:pPr>
            <w:r>
              <w:rPr>
                <w:rFonts w:ascii="Times New Roman" w:hAnsi="Times New Roman"/>
                <w:sz w:val="17"/>
              </w:rPr>
              <w:t>95.8%</w:t>
            </w:r>
          </w:p>
        </w:tc>
        <w:tc>
          <w:tcPr>
            <w:tcW w:type="dxa" w:w="2016"/>
            <w:shd w:fill="FFFFFF"/>
            <w:tcMar>
              <w:top w:w="60" w:type="dxa"/>
              <w:bottom w:w="60" w:type="dxa"/>
              <w:left w:w="100" w:type="dxa"/>
              <w:right w:w="100" w:type="dxa"/>
            </w:tcMar>
          </w:tcPr>
          <w:p>
            <w:pPr>
              <w:jc w:val="center"/>
            </w:pPr>
            <w:r>
              <w:rPr>
                <w:rFonts w:ascii="Times New Roman" w:hAnsi="Times New Roman"/>
                <w:sz w:val="17"/>
              </w:rPr>
              <w:t>96.2%</w:t>
            </w:r>
          </w:p>
        </w:tc>
        <w:tc>
          <w:tcPr>
            <w:tcW w:type="dxa" w:w="2016"/>
            <w:shd w:fill="FFFFFF"/>
            <w:tcMar>
              <w:top w:w="60" w:type="dxa"/>
              <w:bottom w:w="60" w:type="dxa"/>
              <w:left w:w="100" w:type="dxa"/>
              <w:right w:w="100" w:type="dxa"/>
            </w:tcMar>
          </w:tcPr>
          <w:p>
            <w:pPr>
              <w:jc w:val="center"/>
            </w:pPr>
            <w:r>
              <w:rPr>
                <w:rFonts w:ascii="Times New Roman" w:hAnsi="Times New Roman"/>
                <w:sz w:val="17"/>
              </w:rPr>
              <w:t>96.0%</w:t>
            </w:r>
          </w:p>
        </w:tc>
      </w:tr>
      <w:tr>
        <w:tc>
          <w:tcPr>
            <w:tcW w:type="dxa" w:w="2016"/>
            <w:shd w:fill="F8FAFC"/>
            <w:tcMar>
              <w:top w:w="60" w:type="dxa"/>
              <w:bottom w:w="60" w:type="dxa"/>
              <w:left w:w="100" w:type="dxa"/>
              <w:right w:w="100" w:type="dxa"/>
            </w:tcMar>
          </w:tcPr>
          <w:p>
            <w:pPr>
              <w:jc w:val="center"/>
            </w:pPr>
            <w:r>
              <w:rPr>
                <w:rFonts w:ascii="Times New Roman" w:hAnsi="Times New Roman"/>
                <w:b/>
                <w:sz w:val="17"/>
              </w:rPr>
              <w:t>UNKNOWN / CLUTTER</w:t>
            </w:r>
          </w:p>
        </w:tc>
        <w:tc>
          <w:tcPr>
            <w:tcW w:type="dxa" w:w="2016"/>
            <w:shd w:fill="F8FAFC"/>
            <w:tcMar>
              <w:top w:w="60" w:type="dxa"/>
              <w:bottom w:w="60" w:type="dxa"/>
              <w:left w:w="100" w:type="dxa"/>
              <w:right w:w="100" w:type="dxa"/>
            </w:tcMar>
          </w:tcPr>
          <w:p>
            <w:pPr>
              <w:jc w:val="center"/>
            </w:pPr>
            <w:r>
              <w:rPr>
                <w:rFonts w:ascii="Times New Roman" w:hAnsi="Times New Roman"/>
                <w:sz w:val="17"/>
              </w:rPr>
              <w:t>45</w:t>
            </w:r>
          </w:p>
        </w:tc>
        <w:tc>
          <w:tcPr>
            <w:tcW w:type="dxa" w:w="2016"/>
            <w:shd w:fill="F8FAFC"/>
            <w:tcMar>
              <w:top w:w="60" w:type="dxa"/>
              <w:bottom w:w="60" w:type="dxa"/>
              <w:left w:w="100" w:type="dxa"/>
              <w:right w:w="100" w:type="dxa"/>
            </w:tcMar>
          </w:tcPr>
          <w:p>
            <w:pPr>
              <w:jc w:val="center"/>
            </w:pPr>
            <w:r>
              <w:rPr>
                <w:rFonts w:ascii="Times New Roman" w:hAnsi="Times New Roman"/>
                <w:sz w:val="17"/>
              </w:rPr>
              <w:t>94.1%</w:t>
            </w:r>
          </w:p>
        </w:tc>
        <w:tc>
          <w:tcPr>
            <w:tcW w:type="dxa" w:w="2016"/>
            <w:shd w:fill="F8FAFC"/>
            <w:tcMar>
              <w:top w:w="60" w:type="dxa"/>
              <w:bottom w:w="60" w:type="dxa"/>
              <w:left w:w="100" w:type="dxa"/>
              <w:right w:w="100" w:type="dxa"/>
            </w:tcMar>
          </w:tcPr>
          <w:p>
            <w:pPr>
              <w:jc w:val="center"/>
            </w:pPr>
            <w:r>
              <w:rPr>
                <w:rFonts w:ascii="Times New Roman" w:hAnsi="Times New Roman"/>
                <w:sz w:val="17"/>
              </w:rPr>
              <w:t>93.8%</w:t>
            </w:r>
          </w:p>
        </w:tc>
        <w:tc>
          <w:tcPr>
            <w:tcW w:type="dxa" w:w="2016"/>
            <w:shd w:fill="F8FAFC"/>
            <w:tcMar>
              <w:top w:w="60" w:type="dxa"/>
              <w:bottom w:w="60" w:type="dxa"/>
              <w:left w:w="100" w:type="dxa"/>
              <w:right w:w="100" w:type="dxa"/>
            </w:tcMar>
          </w:tcPr>
          <w:p>
            <w:pPr>
              <w:jc w:val="center"/>
            </w:pPr>
            <w:r>
              <w:rPr>
                <w:rFonts w:ascii="Times New Roman" w:hAnsi="Times New Roman"/>
                <w:sz w:val="17"/>
              </w:rPr>
              <w:t>93.9%</w:t>
            </w:r>
          </w:p>
        </w:tc>
      </w:tr>
      <w:tr>
        <w:tc>
          <w:tcPr>
            <w:tcW w:type="dxa" w:w="2016"/>
            <w:shd w:fill="FFFFFF"/>
            <w:tcMar>
              <w:top w:w="60" w:type="dxa"/>
              <w:bottom w:w="60" w:type="dxa"/>
              <w:left w:w="100" w:type="dxa"/>
              <w:right w:w="100" w:type="dxa"/>
            </w:tcMar>
          </w:tcPr>
          <w:p>
            <w:pPr>
              <w:jc w:val="center"/>
            </w:pPr>
            <w:r>
              <w:rPr>
                <w:rFonts w:ascii="Times New Roman" w:hAnsi="Times New Roman"/>
                <w:b/>
                <w:sz w:val="17"/>
              </w:rPr>
              <w:t>Overall / Macro Avg</w:t>
            </w:r>
          </w:p>
        </w:tc>
        <w:tc>
          <w:tcPr>
            <w:tcW w:type="dxa" w:w="2016"/>
            <w:shd w:fill="FFFFFF"/>
            <w:tcMar>
              <w:top w:w="60" w:type="dxa"/>
              <w:bottom w:w="60" w:type="dxa"/>
              <w:left w:w="100" w:type="dxa"/>
              <w:right w:w="100" w:type="dxa"/>
            </w:tcMar>
          </w:tcPr>
          <w:p>
            <w:pPr>
              <w:jc w:val="center"/>
            </w:pPr>
            <w:r>
              <w:rPr>
                <w:rFonts w:ascii="Times New Roman" w:hAnsi="Times New Roman"/>
                <w:b/>
                <w:sz w:val="17"/>
              </w:rPr>
              <w:t>300</w:t>
            </w:r>
          </w:p>
        </w:tc>
        <w:tc>
          <w:tcPr>
            <w:tcW w:type="dxa" w:w="2016"/>
            <w:shd w:fill="FFFFFF"/>
            <w:tcMar>
              <w:top w:w="60" w:type="dxa"/>
              <w:bottom w:w="60" w:type="dxa"/>
              <w:left w:w="100" w:type="dxa"/>
              <w:right w:w="100" w:type="dxa"/>
            </w:tcMar>
          </w:tcPr>
          <w:p>
            <w:pPr>
              <w:jc w:val="center"/>
            </w:pPr>
            <w:r>
              <w:rPr>
                <w:rFonts w:ascii="Times New Roman" w:hAnsi="Times New Roman"/>
                <w:b/>
                <w:sz w:val="17"/>
              </w:rPr>
              <w:t>96.1%</w:t>
            </w:r>
          </w:p>
        </w:tc>
        <w:tc>
          <w:tcPr>
            <w:tcW w:type="dxa" w:w="2016"/>
            <w:shd w:fill="FFFFFF"/>
            <w:tcMar>
              <w:top w:w="60" w:type="dxa"/>
              <w:bottom w:w="60" w:type="dxa"/>
              <w:left w:w="100" w:type="dxa"/>
              <w:right w:w="100" w:type="dxa"/>
            </w:tcMar>
          </w:tcPr>
          <w:p>
            <w:pPr>
              <w:jc w:val="center"/>
            </w:pPr>
            <w:r>
              <w:rPr>
                <w:rFonts w:ascii="Times New Roman" w:hAnsi="Times New Roman"/>
                <w:b/>
                <w:sz w:val="17"/>
              </w:rPr>
              <w:t>96.0%</w:t>
            </w:r>
          </w:p>
        </w:tc>
        <w:tc>
          <w:tcPr>
            <w:tcW w:type="dxa" w:w="2016"/>
            <w:shd w:fill="FFFFFF"/>
            <w:tcMar>
              <w:top w:w="60" w:type="dxa"/>
              <w:bottom w:w="60" w:type="dxa"/>
              <w:left w:w="100" w:type="dxa"/>
              <w:right w:w="100" w:type="dxa"/>
            </w:tcMar>
          </w:tcPr>
          <w:p>
            <w:pPr>
              <w:jc w:val="center"/>
            </w:pPr>
            <w:r>
              <w:rPr>
                <w:rFonts w:ascii="Times New Roman" w:hAnsi="Times New Roman"/>
                <w:b/>
                <w:sz w:val="17"/>
              </w:rPr>
              <w:t>96.2%</w:t>
            </w:r>
          </w:p>
        </w:tc>
      </w:tr>
    </w:tbl>
    <w:p>
      <w:pPr>
        <w:spacing w:after="80"/>
      </w:pPr>
    </w:p>
    <w:p>
      <w:pPr>
        <w:spacing w:line="252" w:lineRule="auto" w:after="80"/>
        <w:jc w:val="both"/>
      </w:pPr>
      <w:r>
        <w:rPr>
          <w:rFonts w:ascii="Times New Roman" w:hAnsi="Times New Roman"/>
          <w:sz w:val="20"/>
        </w:rPr>
        <w:t>As detailed in Table II, the system achieved an overall classification accuracy of 96.2%. Drones achieved a precision of 97.4% and recall of 96.8%, owing to the prominent harmonic energy ratio generated by blade chopping. Birds achieved 95.8% precision, with minimal confusion occurring only during rapid acceleration maneuvers where wing flapping briefly produced elevated spectral bandwidth.</w:t>
      </w:r>
    </w:p>
    <w:p>
      <w:pPr>
        <w:spacing w:line="252" w:lineRule="auto" w:after="80"/>
        <w:jc w:val="both"/>
      </w:pPr>
      <w:r>
        <w:rPr>
          <w:rFonts w:ascii="Times New Roman" w:hAnsi="Times New Roman"/>
          <w:sz w:val="20"/>
        </w:rPr>
        <w:t>Latency profiling was conducted on an Intel Core i7 host. The average execution duration across the complete pipeline was 12.4 ms per frame (Preprocessing &amp; Hann Window: 0.8 ms; STFT computation: 4.2 ms; Feature extraction: 2.6 ms; Inference &amp; DB commit: 4.8 ms). Since the observation frame window is 512 ms (1,024 samples at 2 kHz PRF), the system operates well within real-time constraints, utilizing under 3% of available CPU headroom.</w:t>
      </w:r>
    </w:p>
    <w:p>
      <w:pPr>
        <w:spacing w:before="240" w:after="80"/>
      </w:pPr>
      <w:r>
        <w:rPr>
          <w:rFonts w:ascii="Times New Roman" w:hAnsi="Times New Roman"/>
          <w:b/>
          <w:color w:val="0F172A"/>
          <w:sz w:val="21"/>
        </w:rPr>
        <w:t>VIII. DISCUSSION &amp; FUTURE WORK</w:t>
      </w:r>
    </w:p>
    <w:p>
      <w:pPr>
        <w:spacing w:line="252" w:lineRule="auto" w:after="80"/>
        <w:jc w:val="both"/>
      </w:pPr>
      <w:r>
        <w:rPr>
          <w:rFonts w:ascii="Times New Roman" w:hAnsi="Times New Roman"/>
          <w:sz w:val="20"/>
        </w:rPr>
        <w:t>While the prototype exhibits robust target discrimination, several avenues exist for expansion. First, physical deployment will connect Texas Instruments IWR6843 industrial millimeter-wave radar hardware directly through the FMCWRadarSource driver. Second, multi-target tracking algorithms (such as Joint Probabilistic Data Association Filters) can be integrated to track swarms of simultaneous drones and birds. Finally, expanding the neural network architecture to classify specific drone payloads and motor counts (quadcopters vs. hexacopters vs. fixed-wing UAVs) represents a promising research frontier.</w:t>
      </w:r>
    </w:p>
    <w:p>
      <w:pPr>
        <w:spacing w:before="240" w:after="80"/>
      </w:pPr>
      <w:r>
        <w:rPr>
          <w:rFonts w:ascii="Times New Roman" w:hAnsi="Times New Roman"/>
          <w:b/>
          <w:color w:val="0F172A"/>
          <w:sz w:val="21"/>
        </w:rPr>
        <w:t>IX. CONCLUSION</w:t>
      </w:r>
    </w:p>
    <w:p>
      <w:pPr>
        <w:spacing w:line="252" w:lineRule="auto" w:after="80"/>
        <w:jc w:val="both"/>
      </w:pPr>
      <w:r>
        <w:rPr>
          <w:rFonts w:ascii="Times New Roman" w:hAnsi="Times New Roman"/>
          <w:sz w:val="20"/>
        </w:rPr>
        <w:t>This paper presented the Intelligent Radar Target Classification System, an automated micro-Doppler radar solution addressing the critical challenge of drone versus bird discrimination. By transforming 24 GHz baseband returns into centered STFT spectrograms, the system successfully isolated high-speed rotor blade chopping harmonics from biological wing-flapping modulations. Combining physics-informed feature extraction with convolutional neural networks, the prototype attained a 96.2% classification accuracy with a 12.4 ms processing latency. Designed with strict hardware abstraction, real-time WebSocket telemetry streaming, and ethical defense compliance, the system provides a robust, deployable blueprint for perimeter airspace protection.</w:t>
      </w:r>
    </w:p>
    <w:p>
      <w:pPr>
        <w:spacing w:before="240" w:after="80"/>
      </w:pPr>
      <w:r>
        <w:rPr>
          <w:rFonts w:ascii="Times New Roman" w:hAnsi="Times New Roman"/>
          <w:b/>
          <w:color w:val="0F172A"/>
          <w:sz w:val="21"/>
        </w:rPr>
        <w:t>REFERENCES</w:t>
      </w:r>
    </w:p>
    <w:p>
      <w:pPr>
        <w:spacing w:line="240" w:lineRule="auto" w:after="40"/>
        <w:jc w:val="both"/>
      </w:pPr>
      <w:r>
        <w:rPr>
          <w:rFonts w:ascii="Times New Roman" w:hAnsi="Times New Roman"/>
          <w:sz w:val="17"/>
        </w:rPr>
        <w:t>[1] V. C. Chen, F. Li, S.-S. Ho, and H. Wechsler, "Micro-Doppler effect in radar: Phenomenon, model, and simulation study," IEEE Trans. Aerosp. Electron. Syst., vol. 42, no. 1, pp. 2–21, Jan. 2006.</w:t>
      </w:r>
    </w:p>
    <w:p>
      <w:pPr>
        <w:spacing w:line="240" w:lineRule="auto" w:after="40"/>
        <w:jc w:val="both"/>
      </w:pPr>
      <w:r>
        <w:rPr>
          <w:rFonts w:ascii="Times New Roman" w:hAnsi="Times New Roman"/>
          <w:sz w:val="17"/>
        </w:rPr>
        <w:t>[2] J. J. M. de Wit, W. J. A. de Heij, and P. Hoogeboom, "Analysis of micro-Doppler signatures of small unmanned aerial vehicles," in Proc. IEEE Radar Conf., Cincinnati, OH, USA, 2014, pp. 1045–1049.</w:t>
      </w:r>
    </w:p>
    <w:p>
      <w:pPr>
        <w:spacing w:line="240" w:lineRule="auto" w:after="40"/>
        <w:jc w:val="both"/>
      </w:pPr>
      <w:r>
        <w:rPr>
          <w:rFonts w:ascii="Times New Roman" w:hAnsi="Times New Roman"/>
          <w:sz w:val="17"/>
        </w:rPr>
        <w:t>[3] P. Molchanov, K. Harmanny, J. J. de Wit, R. I. A. Harmanny, and J. Astola, "Classification of small UAVs and birds by micro-Doppler signatures," in Proc. Eur. Radar Conf. (EuRAD), Rome, Italy, 2014, pp. 172–175.</w:t>
      </w:r>
    </w:p>
    <w:p>
      <w:pPr>
        <w:spacing w:line="240" w:lineRule="auto" w:after="40"/>
        <w:jc w:val="both"/>
      </w:pPr>
      <w:r>
        <w:rPr>
          <w:rFonts w:ascii="Times New Roman" w:hAnsi="Times New Roman"/>
          <w:sz w:val="17"/>
        </w:rPr>
        <w:t>[4] C. R. Vaughan, "Birds and insects as radar targets: A review," Proc. IEEE, vol. 73, no. 2, pp. 205–227, Feb. 1985.</w:t>
      </w:r>
    </w:p>
    <w:p>
      <w:pPr>
        <w:spacing w:line="240" w:lineRule="auto" w:after="40"/>
        <w:jc w:val="both"/>
      </w:pPr>
      <w:r>
        <w:rPr>
          <w:rFonts w:ascii="Times New Roman" w:hAnsi="Times New Roman"/>
          <w:sz w:val="17"/>
        </w:rPr>
        <w:t>[5] M. Ritchie, F. Fioranelli, H. Borrion, and H. Griffiths, "Micro-Doppler based feature extraction for drone classification," in Proc. IEEE Radar Conf., Philadelphia, PA, USA, 2016, pp. 1–5.</w:t>
      </w:r>
    </w:p>
    <w:p>
      <w:pPr>
        <w:spacing w:line="240" w:lineRule="auto" w:after="40"/>
        <w:jc w:val="both"/>
      </w:pPr>
      <w:r>
        <w:rPr>
          <w:rFonts w:ascii="Times New Roman" w:hAnsi="Times New Roman"/>
          <w:sz w:val="17"/>
        </w:rPr>
        <w:t>[6] B. K. Kim and H. Ling, "Analysis of micro-Doppler signatures of hovering and flying helicopters," IEEE Trans. Aerosp. Electron. Syst., vol. 46, no. 4, pp. 1980–1989, Oct. 2010.</w:t>
      </w:r>
    </w:p>
    <w:p>
      <w:pPr>
        <w:spacing w:line="240" w:lineRule="auto" w:after="40"/>
        <w:jc w:val="both"/>
      </w:pPr>
      <w:r>
        <w:rPr>
          <w:rFonts w:ascii="Times New Roman" w:hAnsi="Times New Roman"/>
          <w:sz w:val="17"/>
        </w:rPr>
        <w:t>[7] F. Fioranelli, M. Ritchie, and H. Griffiths, "Classification of unarmed and armed personnel using bistatic human micro-Doppler signatures," IEEE Geosci. Remote Sens. Lett., vol. 13, no. 12, pp. 1925–1929, Dec. 2016.</w:t>
      </w:r>
    </w:p>
    <w:p>
      <w:pPr>
        <w:spacing w:line="240" w:lineRule="auto" w:after="40"/>
        <w:jc w:val="both"/>
      </w:pPr>
      <w:r>
        <w:rPr>
          <w:rFonts w:ascii="Times New Roman" w:hAnsi="Times New Roman"/>
          <w:sz w:val="17"/>
        </w:rPr>
        <w:t>[8] S. Rahman and D. A. Tran, "Radar-based small drone detection and classification using deep learning," in Proc. IEEE Radar Conf., Boston, MA, USA, 2019, pp. 1–6.</w:t>
      </w:r>
    </w:p>
    <w:p>
      <w:pPr>
        <w:spacing w:line="240" w:lineRule="auto" w:after="40"/>
        <w:jc w:val="both"/>
      </w:pPr>
      <w:r>
        <w:rPr>
          <w:rFonts w:ascii="Times New Roman" w:hAnsi="Times New Roman"/>
          <w:sz w:val="17"/>
        </w:rPr>
        <w:t>[9] J. S. Patel, F. Fioranelli, and D. Anderson, "Review of radar micro-Doppler signatures for UAV classification," IET Radar Sonar Navig., vol. 15, no. 9, pp. 995–1011, Sep. 2021.</w:t>
      </w:r>
    </w:p>
    <w:p>
      <w:pPr>
        <w:spacing w:line="240" w:lineRule="auto" w:after="40"/>
        <w:jc w:val="both"/>
      </w:pPr>
      <w:r>
        <w:rPr>
          <w:rFonts w:ascii="Times New Roman" w:hAnsi="Times New Roman"/>
          <w:sz w:val="17"/>
        </w:rPr>
        <w:t>[10] S. S. Ram and H. Ling, "Through-wall tracking of human movers using dual-frequency continuous-wave radar," IEEE Trans. Aerosp. Electron. Syst., vol. 44, no. 2, pp. 782–790, Apr. 2008.</w:t>
      </w:r>
    </w:p>
    <w:p>
      <w:pPr>
        <w:spacing w:line="240" w:lineRule="auto" w:after="40"/>
        <w:jc w:val="both"/>
      </w:pPr>
      <w:r>
        <w:rPr>
          <w:rFonts w:ascii="Times New Roman" w:hAnsi="Times New Roman"/>
          <w:sz w:val="17"/>
        </w:rPr>
        <w:t>[11] M. A. Richards, Fundamentals of Radar Signal Processing, 2nd ed. New York, NY, USA: McGraw-Hill Education, 2014.</w:t>
      </w:r>
    </w:p>
    <w:p>
      <w:pPr>
        <w:spacing w:line="240" w:lineRule="auto" w:after="40"/>
        <w:jc w:val="both"/>
      </w:pPr>
      <w:r>
        <w:rPr>
          <w:rFonts w:ascii="Times New Roman" w:hAnsi="Times New Roman"/>
          <w:sz w:val="17"/>
        </w:rPr>
        <w:t>[12] J. Yan, H. Liu, H. C. So, and B. Chen, "Micro-Doppler feature extraction and target classification based on time-frequency analysis," IEEE Access, vol. 7, pp. 173822–173831, 2019.</w:t>
      </w:r>
    </w:p>
    <w:p>
      <w:pPr>
        <w:spacing w:line="240" w:lineRule="auto" w:after="40"/>
        <w:jc w:val="both"/>
      </w:pPr>
      <w:r>
        <w:rPr>
          <w:rFonts w:ascii="Times New Roman" w:hAnsi="Times New Roman"/>
          <w:sz w:val="17"/>
        </w:rPr>
        <w:t>[13] K. A. Ghamry and Y. Zhang, "Cooperative anomaly detection and tracking of unauthorized UAVs," IEEE Trans. Aerosp. Electron. Syst., vol. 57, no. 3, pp. 1823–1836, Jun. 2021.</w:t>
      </w:r>
    </w:p>
    <w:p>
      <w:pPr>
        <w:spacing w:line="240" w:lineRule="auto" w:after="40"/>
        <w:jc w:val="both"/>
      </w:pPr>
      <w:r>
        <w:rPr>
          <w:rFonts w:ascii="Times New Roman" w:hAnsi="Times New Roman"/>
          <w:sz w:val="17"/>
        </w:rPr>
        <w:t>[14] A. Krizhevsky, I. Sutskever, and G. E. Hinton, "ImageNet classification with deep convolutional neural networks," Commun. ACM, vol. 60, no. 6, pp. 84–90, May 2017.</w:t>
      </w:r>
    </w:p>
    <w:p>
      <w:pPr>
        <w:spacing w:line="240" w:lineRule="auto" w:after="40"/>
        <w:jc w:val="both"/>
      </w:pPr>
      <w:r>
        <w:rPr>
          <w:rFonts w:ascii="Times New Roman" w:hAnsi="Times New Roman"/>
          <w:sz w:val="17"/>
        </w:rPr>
        <w:t>[15] F. Chollet, Deep Learning with Python, 2nd ed. Shelter Island, NY, USA: Manning Publications, 2021.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