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 Método Kanban</w:t>
      </w:r>
    </w:p>
    <w:p>
      <w:pPr>
        <w:spacing w:after="480"/>
      </w:pPr>
      <w:r>
        <w:rPr>
          <w:i/>
          <w:color w:val="598771"/>
          <w:sz w:val="26"/>
        </w:rPr>
        <w:t>Gestão visual de fluxos de trabalho, otimização da capacidade operacional e melhoria contínua.</w:t>
      </w:r>
    </w:p>
    <w:p>
      <w:pPr>
        <w:pStyle w:val="Heading2"/>
      </w:pPr>
      <w:r>
        <w:t>1. Introdução ao Kanban</w:t>
      </w:r>
    </w:p>
    <w:p>
      <w:r>
        <w:t>O Kanban é um método evolucionário e altamente visual para gerir e melhorar o fluxo de trabalho de equipas técnicas. Ao contrário de frameworks que exigem reestruturações organizacionais profundas, o Kanban começa com o processo atual da equipa e fomenta uma cultura de evolução contínua através de melhorias incrementais.</w:t>
      </w:r>
    </w:p>
    <w:p>
      <w:pPr>
        <w:pStyle w:val="Heading2"/>
      </w:pPr>
      <w:r>
        <w:t>2. Pilares Práticos do Método</w:t>
      </w:r>
    </w:p>
    <w:p>
      <w:pPr>
        <w:pStyle w:val="Heading3"/>
      </w:pPr>
      <w:r>
        <w:t>Visualização do Trabalho</w:t>
      </w:r>
    </w:p>
    <w:p>
      <w:r>
        <w:t>A criação de um quadro visual mapeia de forma transparente todas as etapas pelas quais uma tarefa transita. Isso remove o 'trabalho invisível' e dá total clareza do estado real das entregas para todos os stakeholders envolvidos.</w:t>
      </w:r>
    </w:p>
    <w:p>
      <w:pPr>
        <w:pStyle w:val="Heading3"/>
      </w:pPr>
      <w:r>
        <w:t>Limitação do Trabalho em Progresso (WIP - Work in Progress)</w:t>
      </w:r>
    </w:p>
    <w:p>
      <w:r>
        <w:t>O estabelecimento de um limite máximo de itens permitidos em cada coluna ativa é o motor da eficiência do Kanban. Sob a máxima 'Parar de começar, começar a terminar', o limite de WIP força o foco operacional, reduz drasticamente o desperdício por multitarefa e estabiliza o fluxo de entrega.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7559"/>
          <w:bottom w:val="single" w:sz="6" w:space="0" w:color="2E7559"/>
          <w:left w:val="none"/>
          <w:right w:val="none"/>
          <w:insideH w:val="single" w:sz="4" w:space="0" w:color="2E7559"/>
          <w:insideV w:val="none"/>
        </w:tblBorders>
      </w:tblPr>
      <w:tblGrid>
        <w:gridCol w:w="4514"/>
        <w:gridCol w:w="4514"/>
      </w:tblGrid>
      <w:tr>
        <w:tc>
          <w:tcPr>
            <w:tcW w:type="dxa" w:w="4514"/>
            <w:shd w:fill="2E755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Etapa do Fluxo Padrão</w:t>
            </w:r>
          </w:p>
        </w:tc>
        <w:tc>
          <w:tcPr>
            <w:tcW w:type="dxa" w:w="4514"/>
            <w:shd w:fill="2E755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Dinâmica Operacional e Regras do Kanban</w:t>
            </w:r>
          </w:p>
        </w:tc>
      </w:tr>
      <w:tr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r>
              <w:rPr>
                <w:b/>
                <w:sz w:val="21"/>
              </w:rPr>
              <w:t>A Fazer / Backlog</w:t>
            </w:r>
          </w:p>
        </w:tc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r>
              <w:rPr>
                <w:sz w:val="21"/>
              </w:rPr>
              <w:t>Tarefas priorizadas e prontas para serem iniciadas pela equipa, ordenadas por valor de negócio.</w:t>
            </w:r>
          </w:p>
        </w:tc>
      </w:tr>
      <w:tr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4F7F5"/>
          </w:tcPr>
          <w:p>
            <w:r>
              <w:rPr>
                <w:b/>
                <w:sz w:val="21"/>
              </w:rPr>
              <w:t>Em Desenvolvimento</w:t>
            </w:r>
          </w:p>
        </w:tc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4F7F5"/>
          </w:tcPr>
          <w:p>
            <w:r>
              <w:rPr>
                <w:sz w:val="21"/>
              </w:rPr>
              <w:t>Trabalho técnico ativo (design, arquitetura, código). Protegido estritamente pelo limite de WIP.</w:t>
            </w:r>
          </w:p>
        </w:tc>
      </w:tr>
      <w:tr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r>
              <w:rPr>
                <w:b/>
                <w:sz w:val="21"/>
              </w:rPr>
              <w:t>Em Homologação / Testes</w:t>
            </w:r>
          </w:p>
        </w:tc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</w:tcPr>
          <w:p>
            <w:r>
              <w:rPr>
                <w:sz w:val="21"/>
              </w:rPr>
              <w:t>Fase de validação da qualidade integrada. Se acumular itens aqui, o time atua em conjunto para desbloquear.</w:t>
            </w:r>
          </w:p>
        </w:tc>
      </w:tr>
      <w:tr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4F7F5"/>
          </w:tcPr>
          <w:p>
            <w:r>
              <w:rPr>
                <w:b/>
                <w:sz w:val="21"/>
              </w:rPr>
              <w:t>Concluído (Done)</w:t>
            </w:r>
          </w:p>
        </w:tc>
        <w:tc>
          <w:tcPr>
            <w:tcW w:type="dxa" w:w="4514"/>
            <w:tcMar>
              <w:top w:w="120" w:type="dxa"/>
              <w:bottom w:w="120" w:type="dxa"/>
              <w:left w:w="180" w:type="dxa"/>
              <w:right w:w="180" w:type="dxa"/>
            </w:tcMar>
            <w:vAlign w:val="center"/>
            <w:shd w:fill="F4F7F5"/>
          </w:tcPr>
          <w:p>
            <w:r>
              <w:rPr>
                <w:sz w:val="21"/>
              </w:rPr>
              <w:t>Funcionalidade entregue com sucesso em produção, gerando valor tangível para o utilizador final.</w:t>
            </w:r>
          </w:p>
        </w:tc>
      </w:tr>
    </w:tbl>
    <w:p>
      <w:pPr>
        <w:spacing w:after="240"/>
      </w:pPr>
    </w:p>
    <w:p>
      <w:pPr>
        <w:pStyle w:val="Heading2"/>
      </w:pPr>
      <w:r>
        <w:t>3. Principais Métricas de Fluxo</w:t>
      </w:r>
    </w:p>
    <w:p>
      <w:pPr>
        <w:pStyle w:val="ListBullet"/>
        <w:spacing w:after="80"/>
      </w:pPr>
      <w:r>
        <w:rPr>
          <w:b/>
        </w:rPr>
        <w:t>Lead Time:</w:t>
      </w:r>
      <w:r>
        <w:t xml:space="preserve"> O tempo total decorrido desde o momento em que o pedido é formalizado/criado até à sua entrega final ao cliente.</w:t>
      </w:r>
    </w:p>
    <w:p>
      <w:pPr>
        <w:pStyle w:val="ListBullet"/>
        <w:spacing w:after="80"/>
      </w:pPr>
      <w:r>
        <w:rPr>
          <w:b/>
        </w:rPr>
        <w:t>Cycle Time:</w:t>
      </w:r>
      <w:r>
        <w:t xml:space="preserve"> O tempo em que a equipa esteve a trabalhar ativamente na tarefa (desde que entrou em desenvolvimento até à conclusão).</w:t>
      </w:r>
    </w:p>
    <w:p>
      <w:pPr>
        <w:pStyle w:val="ListBullet"/>
        <w:spacing w:after="80"/>
      </w:pPr>
      <w:r>
        <w:rPr>
          <w:b/>
        </w:rPr>
        <w:t>Throughput:</w:t>
      </w:r>
      <w:r>
        <w:t xml:space="preserve"> A taxa de entrega medida pelo número de itens de trabalho concluídos com sucesso num determinado intervalo de tempo (ex: por semana).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E755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9877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