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4: Domain-Driven Design (DDD) — Modelagem Tática do Domínio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Mapeamento Arquitetural de Artefatos Táticos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4 (Aplicação dos conceitos)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de Entrega:</w:t>
      </w:r>
      <w:r w:rsidDel="00000000" w:rsidR="00000000" w:rsidRPr="00000000">
        <w:rPr>
          <w:rtl w:val="0"/>
        </w:rPr>
        <w:t xml:space="preserve"> 29/05/2026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Estruturação Tática de Componentes no Domínio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Modelagem detalhada dos blocos de construção táticos do DDD (Entidades, Value Objects, Agregados e Repositórios) para estruturar as regras internas do ecossistema de software de forma isolada.</w:t>
      </w:r>
    </w:p>
    <w:tbl>
      <w:tblPr>
        <w:tblStyle w:val="Table1"/>
        <w:tblW w:w="9360.0" w:type="dxa"/>
        <w:jc w:val="left"/>
        <w:tblBorders>
          <w:top w:color="282a36" w:space="0" w:sz="6" w:val="single"/>
          <w:left w:color="282a36" w:space="0" w:sz="6" w:val="single"/>
          <w:bottom w:color="282a36" w:space="0" w:sz="6" w:val="single"/>
          <w:right w:color="282a36" w:space="0" w:sz="6" w:val="single"/>
          <w:insideH w:color="282a36" w:space="0" w:sz="6" w:val="single"/>
          <w:insideV w:color="282a36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Componente Tático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Exemplo de Negócio do Sistema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6272a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Justificativa Arquitetural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 (Entity)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ConsultaMédica (IdÚnico, Data, Status)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Possui uma identidade própria estável que persiste ao longo do tempo, independentemente de mutações em seus atributos secundários.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Objeto de Valor (Value Object)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CPF / RegistroClínico / Endereço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Não possui identidade própria. É imutável e definido inteiramente pelas propriedades conceituais que encapsula (ex: dois CPFs com números idênticos são semanticamente o mesmo objeto).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Agregado (Aggregate Root)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Prontuário (Raiz que engloba Histórico Clínico e Evoluções)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Funciona como uma barreira transacional. Apenas a Raiz do Agregado pode ser referenciada por objetos externos, blindando e mantendo a consistência interna das sub-entidades associadas.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Repositório (Repository)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IProntuarioRepository (Interface Abstrata)</w:t>
            </w:r>
          </w:p>
        </w:tc>
        <w:tc>
          <w:tcPr>
            <w:tcBorders>
              <w:top w:color="282a36" w:space="0" w:sz="6" w:val="single"/>
              <w:left w:color="282a36" w:space="0" w:sz="6" w:val="single"/>
              <w:bottom w:color="282a36" w:space="0" w:sz="6" w:val="single"/>
              <w:right w:color="282a36" w:space="0" w:sz="6" w:val="single"/>
            </w:tcBorders>
            <w:shd w:fill="f8f8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Camada abstrata que faz a ponte entre o domínio e o mecanismo de persistência de dados no banco de dados, permitindo a recuperação e persistência dos Agregados como se fossem coleções em memória.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Exemplo de Código Limpo para Abstração Tática (Value Object)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Demonstração em código da implementação rigorosa de imutabilidade e auto-validação em um Value Object de CPF de Paciente: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nsolas" w:cs="Consolas" w:eastAsia="Consolas" w:hAnsi="Consolas"/>
          <w:sz w:val="20"/>
          <w:szCs w:val="20"/>
          <w:shd w:fill="f8f8f2" w:val="clear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8f8f2" w:val="clear"/>
          <w:rtl w:val="0"/>
        </w:rPr>
        <w:t xml:space="preserve">class CPF:</w:t>
        <w:br w:type="textWrapping"/>
        <w:t xml:space="preserve">    def __init__(self, numero: str):</w:t>
        <w:br w:type="textWrapping"/>
        <w:t xml:space="preserve">        if not self._validar_formato(numero):</w:t>
        <w:br w:type="textWrapping"/>
        <w:t xml:space="preserve">            raise ValueError("Formato de CPF inválido para o Domínio.")</w:t>
        <w:br w:type="textWrapping"/>
        <w:t xml:space="preserve">        self._numero = numero</w:t>
        <w:br w:type="textWrapping"/>
        <w:br w:type="textWrapping"/>
        <w:t xml:space="preserve">    @property</w:t>
        <w:br w:type="textWrapping"/>
        <w:t xml:space="preserve">    def numero(self) -&gt; str:</w:t>
        <w:br w:type="textWrapping"/>
        <w:t xml:space="preserve">        return self._numero</w:t>
        <w:br w:type="textWrapping"/>
        <w:br w:type="textWrapping"/>
        <w:t xml:space="preserve">    def _validar_formato(self, numero: str) -&gt; bool:</w:t>
        <w:br w:type="textWrapping"/>
        <w:t xml:space="preserve">        # Lógica simplificada de verificação de tamanho para ilustração de regra de negócio</w:t>
        <w:br w:type="textWrapping"/>
        <w:t xml:space="preserve">        return len(numero) == 11 and numero.isdigit()</w:t>
        <w:br w:type="textWrapping"/>
        <w:br w:type="textWrapping"/>
        <w:t xml:space="preserve">    def __eq__(self, outro: object) -&gt; bool:</w:t>
        <w:br w:type="textWrapping"/>
        <w:t xml:space="preserve">        if not isinstance(outro, CPF):</w:t>
        <w:br w:type="textWrapping"/>
        <w:t xml:space="preserve">            return False</w:t>
        <w:br w:type="textWrapping"/>
        <w:t xml:space="preserve">        return self.numero == outro.numero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