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55A44775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${name}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${endereco}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${cep}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>${cnpj}</w:t>
      </w:r>
      <w:r w:rsidR="008527C8">
        <w:rPr>
          <w:sz w:val="22"/>
          <w:szCs w:val="22"/>
        </w:rPr>
        <w:t xml:space="preserve"> ou CPF</w:t>
      </w:r>
      <w:r w:rsidR="00374FDC">
        <w:rPr>
          <w:sz w:val="22"/>
          <w:szCs w:val="22"/>
        </w:rPr>
        <w:t xml:space="preserve"> ${cpf}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>] (</w:t>
      </w:r>
      <w:r w:rsidR="008527C8">
        <w:rPr>
          <w:sz w:val="22"/>
          <w:szCs w:val="22"/>
        </w:rPr>
        <w:t>xxxxxxxxxxxxx</w:t>
      </w:r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r w:rsidR="008527C8">
        <w:rPr>
          <w:sz w:val="22"/>
          <w:szCs w:val="22"/>
        </w:rPr>
        <w:t xml:space="preserve">xxxx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</w:t>
      </w:r>
      <w:r w:rsidRPr="16F5CFAF">
        <w:rPr>
          <w:sz w:val="22"/>
          <w:szCs w:val="22"/>
          <w:highlight w:val="white"/>
        </w:rPr>
        <w:t>/</w:t>
      </w:r>
      <w:r w:rsidR="008527C8">
        <w:rPr>
          <w:sz w:val="22"/>
          <w:szCs w:val="22"/>
          <w:highlight w:val="white"/>
        </w:rPr>
        <w:t>xxxx</w:t>
      </w:r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 xml:space="preserve"> de </w:t>
      </w:r>
      <w:r w:rsidR="008527C8">
        <w:rPr>
          <w:sz w:val="22"/>
          <w:szCs w:val="22"/>
        </w:rPr>
        <w:t>xxxxx</w:t>
      </w:r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2B15" w14:textId="77777777" w:rsidR="00172A56" w:rsidRDefault="00172A56">
      <w:pPr>
        <w:spacing w:after="0"/>
      </w:pPr>
      <w:r>
        <w:separator/>
      </w:r>
    </w:p>
  </w:endnote>
  <w:endnote w:type="continuationSeparator" w:id="0">
    <w:p w14:paraId="6F058F66" w14:textId="77777777" w:rsidR="00172A56" w:rsidRDefault="00172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605B" w14:textId="77777777" w:rsidR="00172A56" w:rsidRDefault="00172A56">
      <w:pPr>
        <w:spacing w:after="0"/>
      </w:pPr>
      <w:r>
        <w:separator/>
      </w:r>
    </w:p>
  </w:footnote>
  <w:footnote w:type="continuationSeparator" w:id="0">
    <w:p w14:paraId="60D055DF" w14:textId="77777777" w:rsidR="00172A56" w:rsidRDefault="00172A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72A56"/>
    <w:rsid w:val="00197FF9"/>
    <w:rsid w:val="001C32D8"/>
    <w:rsid w:val="001E6E7B"/>
    <w:rsid w:val="001F5A2E"/>
    <w:rsid w:val="00307C48"/>
    <w:rsid w:val="00374FDC"/>
    <w:rsid w:val="00402590"/>
    <w:rsid w:val="00404E84"/>
    <w:rsid w:val="00426E4C"/>
    <w:rsid w:val="00497440"/>
    <w:rsid w:val="004B6815"/>
    <w:rsid w:val="00534DE9"/>
    <w:rsid w:val="005B511E"/>
    <w:rsid w:val="006F1043"/>
    <w:rsid w:val="006F126A"/>
    <w:rsid w:val="00702F34"/>
    <w:rsid w:val="00736576"/>
    <w:rsid w:val="008527C8"/>
    <w:rsid w:val="00A35706"/>
    <w:rsid w:val="00AD1CC1"/>
    <w:rsid w:val="00B4041C"/>
    <w:rsid w:val="00C30F7A"/>
    <w:rsid w:val="00D13C55"/>
    <w:rsid w:val="00D5496F"/>
    <w:rsid w:val="00DB3271"/>
    <w:rsid w:val="00E14C63"/>
    <w:rsid w:val="00E60CB9"/>
    <w:rsid w:val="00F00F3A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1456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5</cp:revision>
  <cp:lastPrinted>2022-02-03T12:10:00Z</cp:lastPrinted>
  <dcterms:created xsi:type="dcterms:W3CDTF">2023-01-20T14:35:00Z</dcterms:created>
  <dcterms:modified xsi:type="dcterms:W3CDTF">2023-02-06T21:06:00Z</dcterms:modified>
</cp:coreProperties>
</file>