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cc3525n2vbr" w:id="0"/>
      <w:bookmarkEnd w:id="0"/>
      <w:r w:rsidDel="00000000" w:rsidR="00000000" w:rsidRPr="00000000">
        <w:rPr>
          <w:rtl w:val="0"/>
        </w:rPr>
        <w:t xml:space="preserve">Diferenças entre os códigos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Para alcançarmos a acurácia solicitada, em todas as bases das ações, precisamos construir dois tipos de tratamentos, um para as ações da VALE3 e da CSNA3,  e outro para as ações da BBAS3 e da PETR4.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Nas duas primeiras ações, VALE3 e CSNA3, o tratamento pode ser mais direcionado a ajustes finos no threshold de classificação e na definição de pesos das classes, considerando que essas ações tendem a apresentar um comportamento mais estável. O uso de estratégias como a otimização do threshold para maximizar a acurácia e a validação cruzada simples é mais eficaz para capturar a dinâmica de mercado dessas ações.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Já para as ações BBAS3 e PETR4, o tratamento focou na maior robustez na regularização do modelo e em técnicas avançadas de data augmentation, devido à maior volatilidade e comportamento mais imprevisível dessas ações. Isso inclui o uso intensivo de ruído gaussiano, time warping e amplitude scaling para aumentar a diversidade das sequências de treino e evitar o overfitting. Além disso, o uso de </w:t>
      </w:r>
      <w:r w:rsidDel="00000000" w:rsidR="00000000" w:rsidRPr="00000000">
        <w:rPr>
          <w:rtl w:val="0"/>
        </w:rPr>
        <w:t xml:space="preserve">ensembles</w:t>
      </w:r>
      <w:r w:rsidDel="00000000" w:rsidR="00000000" w:rsidRPr="00000000">
        <w:rPr>
          <w:rtl w:val="0"/>
        </w:rPr>
        <w:t xml:space="preserve"> com múltiplos modelos ajuda a suavizar as previsões e lidar melhor com a complexidade desses dados.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