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45"/>
        <w:pBdr/>
        <w:spacing/>
        <w:ind w:firstLine="46"/>
        <w:rPr/>
      </w:pPr>
      <w:r>
        <w:rPr>
          <w:rtl w:val="0"/>
        </w:rPr>
        <w:t xml:space="preserve">Documento de Requisitos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9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before="0"/>
        <w:ind w:right="0" w:firstLine="0" w:left="161"/>
        <w:jc w:val="left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Projeto</w:t>
      </w:r>
      <w:r>
        <w:rPr>
          <w:sz w:val="24"/>
          <w:szCs w:val="24"/>
          <w:rtl w:val="0"/>
        </w:rPr>
        <w:t xml:space="preserve">:</w:t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24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before="0"/>
        <w:ind w:right="0" w:firstLine="0" w:left="161"/>
        <w:jc w:val="left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Registro de Alterações:</w:t>
      </w:r>
      <w:r>
        <w:rPr>
          <w:i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06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Style w:val="649"/>
        <w:tblW w:w="12947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3254"/>
        <w:gridCol w:w="1559"/>
        <w:gridCol w:w="6803"/>
        <w:tblGridChange w:id="0">
          <w:tblGrid>
            <w:gridCol w:w="1331"/>
            <w:gridCol w:w="2552"/>
            <w:gridCol w:w="1417"/>
            <w:gridCol w:w="3260"/>
          </w:tblGrid>
        </w:tblGridChange>
      </w:tblGrid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37" w:lineRule="auto"/>
              <w:ind w:right="0" w:firstLine="0" w:left="354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Versão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37" w:lineRule="auto"/>
              <w:ind w:right="0" w:firstLine="0" w:left="696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Responsável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37" w:lineRule="auto"/>
              <w:ind w:right="0" w:firstLine="0" w:left="4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Data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37" w:lineRule="auto"/>
              <w:ind w:right="0" w:firstLine="0" w:left="5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Alterações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Alfa001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Gabriel Lopes da Silva Saraiva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shd w:val="clear" w:color="auto" w:fill="auto"/>
                <w:lang w:val="pt-BR"/>
              </w:rPr>
            </w:pPr>
            <w:r>
              <w:rPr>
                <w:rtl w:val="0"/>
                <w:lang w:val="pt-BR"/>
              </w:rPr>
              <w:t xml:space="preserve">16/10/2024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lang w:val="pt-BR"/>
              </w:rPr>
            </w:pPr>
            <w:r>
              <w:rPr>
                <w:rtl w:val="0"/>
                <w:lang w:val="pt-BR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  <w:lang w:val="pt-BR"/>
              </w:rPr>
              <w:t xml:space="preserve">23/10/2024</w:t>
            </w:r>
            <w:r/>
            <w:r/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Esboço da UI, regras de negócio, arquitetura de projeto MVVM e diagrama de classes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Alfa001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Gabriel da Silva </w:t>
            </w:r>
            <w:r>
              <w:rPr>
                <w:rtl w:val="0"/>
                <w:lang w:val="pt-BR"/>
              </w:rPr>
              <w:t xml:space="preserve">Lopes</w:t>
            </w:r>
            <w:r>
              <w:rPr>
                <w:rtl w:val="0"/>
                <w:lang w:val="pt-BR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shd w:val="clear" w:color="auto" w:fill="auto"/>
                <w:lang w:val="pt-BR"/>
              </w:rPr>
            </w:pPr>
            <w:r>
              <w:rPr>
                <w:rtl w:val="0"/>
                <w:lang w:val="pt-BR"/>
              </w:rPr>
              <w:t xml:space="preserve">16/10/2024 </w:t>
            </w:r>
            <w:r>
              <w:rPr>
                <w:shd w:val="clear" w:color="auto" w:fill="auto"/>
                <w:lang w:val="pt-BR"/>
              </w:rPr>
            </w:r>
            <w:r>
              <w:rPr>
                <w:shd w:val="clear" w:color="auto" w:fill="auto"/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lang w:val="pt-BR"/>
              </w:rPr>
            </w:pPr>
            <w:r>
              <w:rPr>
                <w:rtl w:val="0"/>
                <w:lang w:val="pt-BR"/>
              </w:rPr>
              <w:t xml:space="preserve">a</w:t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  <w:lang w:val="pt-BR"/>
              </w:rPr>
              <w:t xml:space="preserve">23/10/2024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Motivar a equipe, delegar tarefas e cobrar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  <w:lang w:val="pt-BR"/>
              </w:rPr>
              <w:t xml:space="preserve">Alfa001</w:t>
            </w:r>
            <w:r/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Guilherme </w:t>
            </w:r>
            <w:r>
              <w:rPr>
                <w:rtl w:val="0"/>
                <w:lang w:val="pt-BR"/>
              </w:rPr>
              <w:t xml:space="preserve">F</w:t>
            </w:r>
            <w:r>
              <w:rPr>
                <w:rtl w:val="0"/>
              </w:rPr>
              <w:t xml:space="preserve">erreira Mendes vieira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shd w:val="clear" w:color="auto" w:fill="auto"/>
                <w:lang w:val="pt-BR"/>
              </w:rPr>
            </w:pPr>
            <w:r>
              <w:rPr>
                <w:rtl w:val="0"/>
                <w:lang w:val="pt-BR"/>
              </w:rPr>
              <w:t xml:space="preserve">16/10/2024 </w:t>
            </w:r>
            <w:r>
              <w:rPr>
                <w:shd w:val="clear" w:color="auto" w:fill="auto"/>
                <w:lang w:val="pt-BR"/>
              </w:rPr>
            </w:r>
            <w:r>
              <w:rPr>
                <w:shd w:val="clear" w:color="auto" w:fill="auto"/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lang w:val="pt-BR"/>
              </w:rPr>
            </w:pPr>
            <w:r>
              <w:rPr>
                <w:rtl w:val="0"/>
                <w:lang w:val="pt-BR"/>
              </w:rPr>
              <w:t xml:space="preserve">a</w:t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  <w:lang w:val="pt-BR"/>
              </w:rPr>
              <w:t xml:space="preserve">23/10/2024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Adquire a tarefa de desenvolver um SGDB simples a base de .CSV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  <w:lang w:val="pt-BR"/>
              </w:rPr>
              <w:t xml:space="preserve">Alfa001</w:t>
            </w:r>
            <w:r/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Pedro Joaquim Azevedo Spengler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shd w:val="clear" w:color="auto" w:fill="auto"/>
                <w:lang w:val="pt-BR"/>
              </w:rPr>
            </w:pPr>
            <w:r>
              <w:rPr>
                <w:rtl w:val="0"/>
                <w:lang w:val="pt-BR"/>
              </w:rPr>
              <w:t xml:space="preserve">16/10/2024 </w:t>
            </w:r>
            <w:r>
              <w:rPr>
                <w:shd w:val="clear" w:color="auto" w:fill="auto"/>
                <w:lang w:val="pt-BR"/>
              </w:rPr>
            </w:r>
            <w:r>
              <w:rPr>
                <w:shd w:val="clear" w:color="auto" w:fill="auto"/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lang w:val="pt-BR"/>
              </w:rPr>
            </w:pPr>
            <w:r>
              <w:rPr>
                <w:rtl w:val="0"/>
                <w:lang w:val="pt-BR"/>
              </w:rPr>
              <w:t xml:space="preserve">a</w:t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  <w:lang w:val="pt-BR"/>
              </w:rPr>
              <w:t xml:space="preserve">23/10/2024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Desenvolvimento da UI com baso no esboço, produzido por Gabriel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  <w:lang w:val="pt-BR"/>
              </w:rPr>
              <w:t xml:space="preserve">Alfa001</w:t>
            </w:r>
            <w:r/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Ruan Pablo Rodrigues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shd w:val="clear" w:color="auto" w:fill="auto"/>
                <w:lang w:val="pt-BR"/>
              </w:rPr>
            </w:pPr>
            <w:r>
              <w:rPr>
                <w:rtl w:val="0"/>
                <w:lang w:val="pt-BR"/>
              </w:rPr>
              <w:t xml:space="preserve">16/10/2024 </w:t>
            </w:r>
            <w:r>
              <w:rPr>
                <w:shd w:val="clear" w:color="auto" w:fill="auto"/>
                <w:lang w:val="pt-BR"/>
              </w:rPr>
            </w:r>
            <w:r>
              <w:rPr>
                <w:shd w:val="clear" w:color="auto" w:fill="auto"/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lang w:val="pt-BR"/>
              </w:rPr>
            </w:pPr>
            <w:r>
              <w:rPr>
                <w:rtl w:val="0"/>
                <w:lang w:val="pt-BR"/>
              </w:rPr>
              <w:t xml:space="preserve">a</w:t>
            </w:r>
            <w:r>
              <w:rPr>
                <w:lang w:val="pt-BR"/>
              </w:rPr>
            </w:r>
            <w:r>
              <w:rPr>
                <w:lang w:val="pt-BR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  <w:lang w:val="pt-BR"/>
              </w:rPr>
              <w:t xml:space="preserve">23/10/2024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Sem tarefa ate então devido a problema médico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9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14"/>
        </w:tabs>
        <w:spacing w:after="0" w:before="1" w:line="240" w:lineRule="auto"/>
        <w:ind w:right="0" w:hanging="253" w:left="414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Introdução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2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52" w:lineRule="auto"/>
        <w:ind w:right="114" w:firstLine="406" w:left="16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Este documento apresenta os requisitos de usuário da ferramenta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 Dock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 está organizado da seguinte forma: a seção 2 contém uma descrição do propósito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do sistema; a seção 3 contém uma descrição do minimundo apresentando o problema; a seção 4 apresenta a lista de requisitos de usuário levantados junto ao cliente; e a seção 5 apresenta a lista de casos de teste derivada a partir dos requisitos do sistema.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5"/>
        </w:tabs>
        <w:spacing w:after="0" w:before="0" w:line="240" w:lineRule="auto"/>
        <w:ind w:right="0" w:hanging="274" w:left="435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Descrição do Propósito do Sistema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5"/>
        </w:tabs>
        <w:spacing w:after="0" w:before="0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5"/>
        </w:tabs>
        <w:spacing w:after="0" w:before="0" w:line="360" w:lineRule="auto"/>
        <w:ind w:right="0" w:firstLine="425" w:left="142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sz w:val="24"/>
          <w:szCs w:val="24"/>
        </w:rPr>
        <w:t xml:space="preserve">O </w:t>
      </w:r>
      <w:r>
        <w:rPr>
          <w:sz w:val="24"/>
          <w:szCs w:val="24"/>
          <w:lang w:val="pt-BR"/>
        </w:rPr>
        <w:t xml:space="preserve">Dock</w:t>
      </w:r>
      <w:r>
        <w:rPr>
          <w:sz w:val="24"/>
          <w:szCs w:val="24"/>
        </w:rPr>
        <w:t xml:space="preserve"> tem como objetivo permit</w:t>
      </w:r>
      <w:r>
        <w:rPr>
          <w:sz w:val="24"/>
          <w:szCs w:val="24"/>
          <w:lang w:val="pt-BR"/>
        </w:rPr>
        <w:t xml:space="preserve">ir </w:t>
      </w:r>
      <w:r>
        <w:rPr>
          <w:sz w:val="24"/>
          <w:szCs w:val="24"/>
        </w:rPr>
        <w:t xml:space="preserve">aos usuários organizar atalhos de aplicativos de duas maneiras: automática, com base no uso frequente dos aplicativos, e manual, onde o usuário escolhe quais aplicativos serão adiciona</w:t>
      </w:r>
      <w:r>
        <w:rPr>
          <w:sz w:val="24"/>
          <w:szCs w:val="24"/>
        </w:rPr>
        <w:t xml:space="preserve">dos. Além disso, o sistema oferece uma funcionalidade de notas autocolantes, que podem ser vinculadas a aplicativos específicos e exibidas automaticamente quando esses aplicativos são abertos. O sistema também oferece uma interface de configuração inicial,</w:t>
      </w:r>
      <w:r>
        <w:rPr>
          <w:sz w:val="24"/>
          <w:szCs w:val="24"/>
        </w:rPr>
        <w:t xml:space="preserve"> orientada por um </w:t>
      </w:r>
      <w:r>
        <w:rPr>
          <w:sz w:val="24"/>
          <w:szCs w:val="24"/>
          <w:lang w:val="pt-BR"/>
        </w:rPr>
        <w:t xml:space="preserve">guia</w:t>
      </w:r>
      <w:r>
        <w:rPr>
          <w:sz w:val="24"/>
          <w:szCs w:val="24"/>
        </w:rPr>
        <w:t xml:space="preserve">, na primeira vez em que o usuário o utiliza.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sz w:val="24"/>
          <w:szCs w:val="24"/>
          <w:highlight w:val="no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12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5"/>
        </w:tabs>
        <w:spacing w:after="0" w:before="0" w:line="240" w:lineRule="auto"/>
        <w:ind w:right="0" w:hanging="274" w:left="435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Descrição do Minimundo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5"/>
        </w:tabs>
        <w:spacing w:after="0" w:before="0" w:line="240" w:lineRule="auto"/>
        <w:ind w:right="0"/>
        <w:jc w:val="left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5" w:left="142"/>
        <w:jc w:val="both"/>
        <w:rPr>
          <w:highlight w:val="none"/>
        </w:rPr>
      </w:pPr>
      <w:r>
        <w:t xml:space="preserve">A ferramenta Dock Personalizável resolve o problema da desorganização de atalhos de aplicativos na área de trabalho dos usuários, permitindo que eles personalizem a disposição dos atalhos de acordo com suas preferências. O sistema oferece duas modalidades: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5" w:left="14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5" w:left="142"/>
        <w:jc w:val="both"/>
        <w:rPr/>
      </w:pPr>
      <w:r>
        <w:t xml:space="preserve">Modo Automático: os atalhos são adicionados automaticamente à Dock conforme os aplicativos são utilizados.</w:t>
      </w:r>
      <w:r/>
    </w:p>
    <w:p>
      <w:pPr>
        <w:pStyle w:val="6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5" w:left="142"/>
        <w:jc w:val="both"/>
        <w:rPr/>
      </w:pPr>
      <w:r>
        <w:t xml:space="preserve">Modo Manual: o usuário tem controle total sobre quais aplicativos devem aparecer na Dock. Além disso, o sistema permite que os usuários criem notas autocolantes associadas aos atalhos dos aplicativos, facilitando a recuperação rápida de lembretes ou inform</w:t>
      </w:r>
      <w:r>
        <w:t xml:space="preserve">ações relevantes ao abrir um programa.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5"/>
        </w:tabs>
        <w:spacing w:after="0" w:before="0" w:line="240" w:lineRule="auto"/>
        <w:ind w:right="0"/>
        <w:jc w:val="left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5"/>
        </w:tabs>
        <w:spacing w:after="0" w:before="0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38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432"/>
        </w:tabs>
        <w:spacing w:after="0" w:before="1" w:line="240" w:lineRule="auto"/>
        <w:ind w:right="0" w:hanging="274" w:left="432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Requisitos de Usuário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3" w:line="240" w:lineRule="auto"/>
        <w:ind w:right="0" w:firstLine="0" w:left="86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Tomando por base o contexto do sistema, foram identificados os seguintes requisitos de usuário: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after="52" w:before="34"/>
        <w:ind w:right="0" w:firstLine="0" w:left="0"/>
        <w:jc w:val="left"/>
        <w:rPr>
          <w:b/>
          <w:bCs/>
          <w:sz w:val="24"/>
          <w:szCs w:val="24"/>
        </w:rPr>
      </w:pPr>
      <w:r>
        <w:rPr>
          <w:b/>
          <w:sz w:val="24"/>
          <w:szCs w:val="24"/>
          <w:highlight w:val="none"/>
          <w:rtl w:val="0"/>
        </w:rPr>
      </w:r>
      <w:r>
        <w:rPr>
          <w:b/>
          <w:sz w:val="24"/>
          <w:szCs w:val="24"/>
          <w:highlight w:val="none"/>
          <w:rtl w:val="0"/>
        </w:rPr>
      </w:r>
    </w:p>
    <w:p>
      <w:pPr>
        <w:pBdr/>
        <w:spacing w:after="52" w:before="34"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  <w:rtl w:val="0"/>
        </w:rPr>
        <w:t xml:space="preserve">Requisitos Funcionais</w:t>
      </w:r>
      <w:r>
        <w:rPr>
          <w:b/>
          <w:sz w:val="24"/>
          <w:szCs w:val="24"/>
        </w:rPr>
      </w:r>
    </w:p>
    <w:tbl>
      <w:tblPr>
        <w:tblStyle w:val="650"/>
        <w:tblW w:w="12962" w:type="dxa"/>
        <w:tblInd w:w="1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8647"/>
        <w:gridCol w:w="1134"/>
        <w:gridCol w:w="1850"/>
        <w:tblGridChange w:id="1">
          <w:tblGrid>
            <w:gridCol w:w="1331"/>
            <w:gridCol w:w="8647"/>
            <w:gridCol w:w="1134"/>
            <w:gridCol w:w="1850"/>
          </w:tblGrid>
        </w:tblGridChange>
      </w:tblGrid>
      <w:tr>
        <w:trPr>
          <w:cantSplit w:val="false"/>
          <w:trHeight w:val="258"/>
        </w:trPr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114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Identificador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63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Descrição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123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Prioridade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63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Depende de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t xml:space="preserve">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Ao iniciar a Dock o usuario deve escolher entre o modo inteligente e o modo manual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Alta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Uma vez definido o modo de operação no wizard, o usuario pode mudar a qualquer momento o modo de operação.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Alta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RF0001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O modo inteligente deve adicionar atalhos de aplicações de acordo com a frequência de uso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Alta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RF0001 e </w:t>
            </w:r>
            <w:r>
              <w:rPr>
                <w:rtl w:val="0"/>
                <w:lang w:val="pt-BR"/>
              </w:rPr>
              <w:t xml:space="preserve">RF0002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  <w:lang w:val="pt-BR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4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 Dock deve permitir o usuario adicionar manualmente atalhos a Dock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Alta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lang w:val="pt-BR"/>
              </w:rPr>
              <w:t xml:space="preserve">A </w:t>
            </w:r>
            <w:r>
              <w:rPr>
                <w:lang w:val="pt-BR"/>
              </w:rPr>
              <w:t xml:space="preserve">Dock </w:t>
            </w:r>
            <w:r/>
            <w:r>
              <w:rPr>
                <w:lang w:val="pt-BR"/>
              </w:rPr>
              <w:t xml:space="preserve">deve Dock</w:t>
            </w:r>
            <w:r>
              <w:t xml:space="preserve"> permitir ao usuário criar notas autocolantes.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Média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t xml:space="preserve">1</w:t>
            </w:r>
            <w:r>
              <w:rPr>
                <w:lang w:val="pt-BR"/>
              </w:rPr>
              <w:t xml:space="preserve"> e </w:t>
            </w:r>
            <w:r>
              <w:rPr>
                <w:rtl w:val="0"/>
                <w:lang w:val="pt-BR"/>
              </w:rPr>
            </w:r>
            <w:r>
              <w:rPr>
                <w:rtl w:val="0"/>
                <w:lang w:val="pt-BR"/>
              </w:rPr>
              <w:t xml:space="preserve">RF0002</w:t>
            </w:r>
            <w:r/>
            <w:r>
              <w:rPr>
                <w:lang w:val="pt-BR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lang w:val="pt-BR"/>
              </w:rPr>
              <w:t xml:space="preserve">A </w:t>
            </w:r>
            <w:r>
              <w:rPr>
                <w:lang w:val="pt-BR"/>
              </w:rPr>
              <w:t xml:space="preserve">Dock </w:t>
            </w:r>
            <w:r/>
            <w:r>
              <w:rPr>
                <w:lang w:val="pt-BR"/>
              </w:rPr>
              <w:t xml:space="preserve">deve Dock</w:t>
            </w:r>
            <w:r>
              <w:t xml:space="preserve"> permitir </w:t>
            </w:r>
            <w:r>
              <w:rPr>
                <w:lang w:val="pt-BR"/>
              </w:rPr>
              <w:t xml:space="preserve">associar notas autocolantes junto com o atalho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  <w:lang w:val="pt-BR"/>
              </w:rPr>
              <w:t xml:space="preserve">Média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7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lang w:val="pt-BR"/>
              </w:rPr>
              <w:t xml:space="preserve">A Dock deve Dock</w:t>
            </w:r>
            <w:r>
              <w:t xml:space="preserve"> </w:t>
            </w:r>
            <w:r>
              <w:rPr>
                <w:lang w:val="pt-BR"/>
              </w:rPr>
              <w:t xml:space="preserve">deve abrir notas autocolantes junto a o atalho associado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Média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8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rtl w:val="0"/>
                <w:lang w:val="pt-BR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10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11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12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2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before="0"/>
        <w:ind w:right="0" w:firstLine="0" w:left="158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Regras de Negócio</w:t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" w:before="106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Style w:val="651"/>
        <w:tblW w:w="12962" w:type="dxa"/>
        <w:tblInd w:w="1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7371"/>
        <w:gridCol w:w="1134"/>
        <w:gridCol w:w="2984"/>
        <w:tblGridChange w:id="2">
          <w:tblGrid>
            <w:gridCol w:w="1473"/>
            <w:gridCol w:w="7371"/>
            <w:gridCol w:w="1134"/>
            <w:gridCol w:w="2984"/>
          </w:tblGrid>
        </w:tblGridChange>
      </w:tblGrid>
      <w:tr>
        <w:trPr>
          <w:cantSplit w:val="false"/>
          <w:trHeight w:val="258"/>
        </w:trPr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185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Identificador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6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Descrição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123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Prioridade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63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Depende de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RN0001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lang w:val="pt-BR"/>
              </w:rPr>
              <w:t xml:space="preserve">A Dock suportará mult-usuário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tabs>
                <w:tab w:val="center" w:leader="none" w:pos="557"/>
              </w:tabs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pt-BR"/>
              </w:rPr>
              <w:t xml:space="preserve">Alto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RN0002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Notas autocolantes podem ser editadas a qualquer momento, desde que o aplicativo vinculado esteja aberto.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Média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RF00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RN0003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Notas autocolantes devem ser criadas com ou sem vinculo com um atalho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Baixa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RN0004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RN0005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RN0006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RN0007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before="0"/>
        <w:ind w:right="0" w:firstLine="0" w:left="158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Requisitos Não Funcionais</w:t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1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Style w:val="652"/>
        <w:tblW w:w="12962" w:type="dxa"/>
        <w:jc w:val="center"/>
        <w:tblInd w:w="1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5812"/>
        <w:gridCol w:w="1842"/>
        <w:gridCol w:w="1134"/>
        <w:gridCol w:w="1276"/>
        <w:gridCol w:w="1425"/>
        <w:tblGridChange w:id="3">
          <w:tblGrid>
            <w:gridCol w:w="1473"/>
            <w:gridCol w:w="5812"/>
            <w:gridCol w:w="1842"/>
            <w:gridCol w:w="1134"/>
            <w:gridCol w:w="1276"/>
            <w:gridCol w:w="1425"/>
          </w:tblGrid>
        </w:tblGridChange>
      </w:tblGrid>
      <w:tr>
        <w:trPr>
          <w:cantSplit w:val="false"/>
          <w:trHeight w:val="258"/>
        </w:trPr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185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Identificador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6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Descrição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51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Categoria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24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Escopo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194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Prioridade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9d9d9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16" w:lineRule="auto"/>
              <w:ind w:right="0" w:firstLine="0" w:left="63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Depende de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lang w:val="pt-BR"/>
              </w:rPr>
              <w:t xml:space="preserve">A Dock </w:t>
            </w:r>
            <w:r>
              <w:t xml:space="preserve">deve ser compatível com os sistemas operacionais Linux</w:t>
            </w:r>
            <w:r>
              <w:rPr>
                <w:lang w:val="pt-BR"/>
              </w:rPr>
              <w:t xml:space="preserve">,</w:t>
            </w:r>
            <w:r>
              <w:t xml:space="preserve"> Windows</w:t>
            </w:r>
            <w:r>
              <w:rPr>
                <w:lang w:val="pt-BR"/>
              </w:rPr>
              <w:t xml:space="preserve"> e Mac OS</w:t>
            </w:r>
            <w:r>
              <w:t xml:space="preserve">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Dock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Global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Media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 Dock deve iniciar em menos de 2s após o sistema operacional terminar de carregar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Desempenho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Utilidade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Média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4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O sistema deve apresentar uma interface amigável e intuitiva para o Wizard.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lang w:val="pt-BR"/>
              </w:rPr>
              <w:t xml:space="preserve">Interação Humano Computador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Global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  <w:t xml:space="preserve">Alta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pt-BR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tl w:val="0"/>
                <w:lang w:val="pt-BR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7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8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0</w:t>
            </w:r>
            <w:r>
              <w:rPr>
                <w:lang w:val="pt-BR"/>
              </w:rPr>
              <w:t xml:space="preserve">9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10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11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12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84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t xml:space="preserve">R</w:t>
            </w:r>
            <w:r>
              <w:rPr>
                <w:lang w:val="pt-BR"/>
              </w:rPr>
              <w:t xml:space="preserve">N</w:t>
            </w:r>
            <w:r>
              <w:t xml:space="preserve">00</w:t>
            </w:r>
            <w:r>
              <w:rPr>
                <w:lang w:val="pt-BR"/>
              </w:rPr>
              <w:t xml:space="preserve">13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lang w:val="pt-BR"/>
              </w:rPr>
              <w:t xml:space="preserve">==//==//==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1900" w:orient="landscape" w:w="16820"/>
      <w:pgMar w:top="1340" w:right="2380" w:bottom="280" w:left="1260" w:header="360" w:footer="36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Georgia">
    <w:panose1 w:val="020405020504050203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254" w:left="414"/>
      </w:pPr>
      <w:rPr>
        <w:rFonts w:ascii="Times New Roman" w:hAnsi="Times New Roman" w:eastAsia="Times New Roman" w:cs="Times New Roman"/>
        <w:b/>
        <w:i w:val="0"/>
        <w:sz w:val="28"/>
        <w:szCs w:val="28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54" w:left="1256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54" w:left="2092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53" w:left="2928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54" w:left="3764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54" w:left="460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54" w:left="5436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53" w:left="627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54" w:left="7108"/>
      </w:pPr>
      <w:rPr/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pt-PT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43"/>
    <w:next w:val="64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3"/>
    <w:next w:val="64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3"/>
    <w:next w:val="64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40"/>
    <w:link w:val="6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0"/>
    <w:link w:val="6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0"/>
    <w:link w:val="6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0"/>
    <w:link w:val="6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0"/>
    <w:link w:val="6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0"/>
    <w:link w:val="6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0"/>
    <w:link w:val="6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0"/>
    <w:link w:val="6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3"/>
    <w:next w:val="64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4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3"/>
    <w:next w:val="64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4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40"/>
    <w:link w:val="175"/>
    <w:uiPriority w:val="99"/>
    <w:pPr>
      <w:pBdr/>
      <w:spacing/>
      <w:ind/>
    </w:pPr>
  </w:style>
  <w:style w:type="paragraph" w:styleId="177">
    <w:name w:val="Footer"/>
    <w:basedOn w:val="64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40"/>
    <w:link w:val="177"/>
    <w:uiPriority w:val="99"/>
    <w:pPr>
      <w:pBdr/>
      <w:spacing/>
      <w:ind/>
    </w:pPr>
  </w:style>
  <w:style w:type="paragraph" w:styleId="179">
    <w:name w:val="Caption"/>
    <w:basedOn w:val="643"/>
    <w:next w:val="6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3"/>
    <w:next w:val="643"/>
    <w:uiPriority w:val="99"/>
    <w:unhideWhenUsed/>
    <w:pPr>
      <w:pBdr/>
      <w:spacing w:after="0" w:afterAutospacing="0"/>
      <w:ind/>
    </w:pPr>
  </w:style>
  <w:style w:type="paragraph" w:styleId="633">
    <w:name w:val="Heading 1"/>
    <w:basedOn w:val="643"/>
    <w:next w:val="643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634">
    <w:name w:val="Heading 2"/>
    <w:basedOn w:val="643"/>
    <w:next w:val="643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635">
    <w:name w:val="Heading 3"/>
    <w:basedOn w:val="643"/>
    <w:next w:val="643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36">
    <w:name w:val="Heading 4"/>
    <w:basedOn w:val="643"/>
    <w:next w:val="643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37">
    <w:name w:val="Heading 5"/>
    <w:basedOn w:val="643"/>
    <w:next w:val="643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38">
    <w:name w:val="Heading 6"/>
    <w:basedOn w:val="643"/>
    <w:next w:val="643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character" w:styleId="640" w:default="1">
    <w:name w:val="Default Paragraph Font"/>
    <w:uiPriority w:val="1"/>
    <w:semiHidden/>
    <w:unhideWhenUsed/>
    <w:pPr>
      <w:pBdr/>
      <w:spacing/>
      <w:ind/>
    </w:pPr>
  </w:style>
  <w:style w:type="table" w:styleId="64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2" w:default="1">
    <w:name w:val="No List"/>
    <w:uiPriority w:val="99"/>
    <w:semiHidden/>
    <w:unhideWhenUsed/>
    <w:pPr>
      <w:pBdr/>
      <w:spacing/>
      <w:ind/>
    </w:pPr>
  </w:style>
  <w:style w:type="paragraph" w:styleId="643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644">
    <w:name w:val="Body Text"/>
    <w:basedOn w:val="643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645">
    <w:name w:val="Title"/>
    <w:basedOn w:val="643"/>
    <w:uiPriority w:val="1"/>
    <w:qFormat/>
    <w:pPr>
      <w:pBdr/>
      <w:spacing w:before="54"/>
      <w:ind w:left="4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646">
    <w:name w:val="List Paragraph"/>
    <w:basedOn w:val="643"/>
    <w:uiPriority w:val="1"/>
    <w:qFormat/>
    <w:pPr>
      <w:pBdr/>
      <w:spacing/>
      <w:ind w:hanging="274" w:left="435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647">
    <w:name w:val="Table Paragraph"/>
    <w:basedOn w:val="643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648">
    <w:name w:val="Subtitle"/>
    <w:basedOn w:val="643"/>
    <w:next w:val="643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49">
    <w:name w:val="StGen0"/>
    <w:basedOn w:val="64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0">
    <w:name w:val="StGen1"/>
    <w:basedOn w:val="64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1">
    <w:name w:val="StGen2"/>
    <w:basedOn w:val="64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2">
    <w:name w:val="StGen3"/>
    <w:basedOn w:val="64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Ds86cCExXRnyvNVwwdIArZLXQ==">CgMxLjA4AHIhMUxPTjdLVERnZS1BcFl4dTdfa2FBdUhCTzh5dGdMalBs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2024-10-21T06:45:18Z</dcterms:created>
  <dcterms:modified xsi:type="dcterms:W3CDTF">2024-10-23T09:09:36Z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Apps Renderer</vt:lpwstr>
  </property>
</Properties>
</file>