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jc w:val="center"/>
      </w:pPr>
      <w:r>
        <w:rPr>
          <w:rFonts w:ascii="Calibri" w:cs="Calibri" w:eastAsia="Calibri" w:hAnsi="Calibri"/>
          <w:b/>
          <w:bCs/>
          <w:color w:val="1F3864"/>
          <w:sz w:val="44"/>
          <w:szCs w:val="44"/>
        </w:rPr>
        <w:t xml:space="preserve">GROUNDED AND OPEN: </w:t>
      </w:r>
    </w:p>
    <w:p>
      <w:pPr>
        <w:spacing w:after="400"/>
        <w:jc w:val="center"/>
      </w:pPr>
      <w:r>
        <w:rPr>
          <w:rFonts w:ascii="Calibri" w:cs="Calibri" w:eastAsia="Calibri" w:hAnsi="Calibri"/>
          <w:b/>
          <w:bCs/>
          <w:color w:val="1F3864"/>
          <w:sz w:val="34"/>
          <w:szCs w:val="34"/>
        </w:rPr>
        <w:t xml:space="preserve">A Transparent, RAG-Grounded Open-Weight Judge for Automated GDPR Privacy Policy Compliance Assessment</w:t>
      </w:r>
    </w:p>
    <w:p>
      <w:pPr>
        <w:spacing w:after="800"/>
        <w:jc w:val="center"/>
      </w:pPr>
      <w:r>
        <w:rPr>
          <w:rFonts w:ascii="Calibri" w:cs="Calibri" w:eastAsia="Calibri" w:hAnsi="Calibri"/>
          <w:i/>
          <w:iCs/>
          <w:color w:val="444444"/>
          <w:sz w:val="26"/>
          <w:szCs w:val="26"/>
        </w:rPr>
        <w:t xml:space="preserve">A White Paper on Reproducible, Auditable Decision Support for Privacy Policy Review</w:t>
      </w:r>
    </w:p>
    <w:p>
      <w:pPr>
        <w:spacing w:after="80"/>
        <w:jc w:val="center"/>
      </w:pPr>
      <w:r>
        <w:rPr>
          <w:rFonts w:ascii="Calibri" w:cs="Calibri" w:eastAsia="Calibri" w:hAnsi="Calibri"/>
          <w:b/>
          <w:bCs/>
          <w:sz w:val="24"/>
          <w:szCs w:val="24"/>
        </w:rPr>
        <w:t xml:space="preserve">Vanshika Sapra</w:t>
      </w:r>
    </w:p>
    <w:p>
      <w:pPr>
        <w:spacing w:after="80"/>
        <w:jc w:val="center"/>
      </w:pPr>
      <w:r>
        <w:rPr>
          <w:rFonts w:ascii="Calibri" w:cs="Calibri" w:eastAsia="Calibri" w:hAnsi="Calibri"/>
          <w:color w:val="555555"/>
          <w:sz w:val="22"/>
          <w:szCs w:val="22"/>
        </w:rPr>
        <w:t xml:space="preserve">Privacy Policy Compliance Project</w:t>
      </w:r>
    </w:p>
    <w:p>
      <w:pPr>
        <w:spacing w:after="1600"/>
        <w:jc w:val="center"/>
      </w:pPr>
      <w:r>
        <w:rPr>
          <w:rFonts w:ascii="Calibri" w:cs="Calibri" w:eastAsia="Calibri" w:hAnsi="Calibri"/>
          <w:color w:val="555555"/>
          <w:sz w:val="22"/>
          <w:szCs w:val="22"/>
        </w:rPr>
        <w:t xml:space="preserve">August 2026</w:t>
      </w:r>
    </w:p>
    <w:p>
      <w:pPr>
        <w:spacing w:after="40"/>
        <w:jc w:val="center"/>
      </w:pPr>
      <w:r>
        <w:rPr>
          <w:rFonts w:ascii="Calibri" w:cs="Calibri" w:eastAsia="Calibri" w:hAnsi="Calibri"/>
          <w:i/>
          <w:iCs/>
          <w:color w:val="888888"/>
          <w:sz w:val="20"/>
          <w:szCs w:val="20"/>
        </w:rPr>
        <w:t xml:space="preserve">Research prototype and decision-support tool. Not a legal compliance certification.</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3864"/>
          <w:sz w:val="30"/>
          <w:szCs w:val="30"/>
        </w:rPr>
        <w:t xml:space="preserve">Abstract</w:t>
      </w:r>
    </w:p>
    <w:p>
      <w:pPr>
        <w:spacing w:after="160" w:line="276"/>
        <w:jc w:val="both"/>
      </w:pPr>
      <w:r>
        <w:rPr>
          <w:rFonts w:ascii="Calibri" w:cs="Calibri" w:eastAsia="Calibri" w:hAnsi="Calibri"/>
          <w:b w:val="false"/>
          <w:bCs w:val="false"/>
          <w:i w:val="false"/>
          <w:iCs w:val="false"/>
          <w:sz w:val="22"/>
          <w:szCs w:val="22"/>
        </w:rPr>
        <w:t xml:space="preserve">Assessing whether a privacy policy's text reflects the obligations of the General Data Protection Regulation (GDPR) is today either a slow, expensive manual exercise performed by legal and privacy staff, or a fast but opaque one performed by commercial “AI-powered” compliance products that disclose neither their scoring rubric nor their model. This paper presents a research prototype that takes a third path: a pipeline that segments a privacy policy into clauses, retrieves the specific GDPR articles, recitals, and EDPB guidance most relevant to each clause using a hybrid, reranked retrieval-augmented generation (RAG) stack, and judges each (clause, retrieved-text) pair with a small, openly inspectable large language model fine-tuned specifically for this task. Verdicts are aggregated into a per-article and per-chapter compliance score through a plain-text, version-controlled scoring configuration rather than a hidden vendor rubric. We situate this design against the academic and commercial state of the art, argue explicitly for why an open, fine-tuned, locally run judge is preferable to prompting a closed commercial API for this problem — on grounds of reproducibility, cost, transparency, and data privacy — and report high-level retrieval-quality results that motivate the system's current configuration, deferring full judge-accuracy metrics to an accompanying technical report. We close with an explicit statement of the system's limitations: it measures textual compliance signals, not legal compliance in a binding sense, and is intended to support — never replace — qualified legal review.</w:t>
      </w:r>
    </w:p>
    <w:p>
      <w:pPr>
        <w:pBdr>
          <w:bottom w:val="single" w:color="AAAAAA" w:sz="6" w:space="1"/>
        </w:pBdr>
        <w:spacing w:after="120" w:before="120"/>
      </w:pPr>
      <w:r>
        <w:t xml:space="preserve"/>
      </w:r>
    </w:p>
    <w:p>
      <w:pPr>
        <w:pStyle w:val="Heading1"/>
        <w:spacing w:after="200" w:before="400"/>
      </w:pPr>
      <w:r>
        <w:rPr>
          <w:rFonts w:ascii="Calibri" w:cs="Calibri" w:eastAsia="Calibri" w:hAnsi="Calibri"/>
          <w:b/>
          <w:bCs/>
          <w:color w:val="1F3864"/>
          <w:sz w:val="30"/>
          <w:szCs w:val="30"/>
        </w:rPr>
        <w:t xml:space="preserve">Contents</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8400"/>
        <w:gridCol w:w="950"/>
      </w:tblGrid>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Abstract</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2</w:t>
            </w:r>
          </w:p>
        </w:tc>
      </w:tr>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1.  Motivation</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3</w:t>
            </w:r>
          </w:p>
        </w:tc>
      </w:tr>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2.  Related Work and Gaps</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4</w:t>
            </w:r>
          </w:p>
        </w:tc>
      </w:tr>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3.  Our Approach</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6</w:t>
            </w:r>
          </w:p>
        </w:tc>
      </w:tr>
      <w:tr>
        <w:tc>
          <w:tcPr>
            <w:tcW w:type="dxa" w:w="8400"/>
            <w:tcBorders>
              <w:top w:val="none" w:color="FFFFFF" w:sz="0"/>
              <w:left w:val="none" w:color="FFFFFF" w:sz="0"/>
              <w:bottom w:val="none" w:color="FFFFFF" w:sz="0"/>
              <w:right w:val="none" w:color="FFFFFF" w:sz="0"/>
            </w:tcBorders>
            <w:tcMar>
              <w:top w:type="dxa" w:w="40"/>
              <w:left w:type="dxa" w:w="300"/>
              <w:bottom w:type="dxa" w:w="40"/>
              <w:right w:type="dxa" w:w="100"/>
            </w:tcMar>
          </w:tcPr>
          <w:p>
            <w:r>
              <w:rPr>
                <w:rFonts w:ascii="Calibri" w:cs="Calibri" w:eastAsia="Calibri" w:hAnsi="Calibri"/>
                <w:b w:val="false"/>
                <w:bCs w:val="false"/>
                <w:sz w:val="19"/>
                <w:szCs w:val="19"/>
              </w:rPr>
              <w:t xml:space="preserve">Why an open, fine-tuned, inspectable judge instead of a closed-API LLM</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val="false"/>
                <w:bCs w:val="false"/>
                <w:sz w:val="19"/>
                <w:szCs w:val="19"/>
              </w:rPr>
              <w:t xml:space="preserve">6</w:t>
            </w:r>
          </w:p>
        </w:tc>
      </w:tr>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4.  What Differentiates This From the State of the Art</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8</w:t>
            </w:r>
          </w:p>
        </w:tc>
      </w:tr>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5.  Results Summary</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10</w:t>
            </w:r>
          </w:p>
        </w:tc>
      </w:tr>
      <w:tr>
        <w:tc>
          <w:tcPr>
            <w:tcW w:type="dxa" w:w="8400"/>
            <w:tcBorders>
              <w:top w:val="none" w:color="FFFFFF" w:sz="0"/>
              <w:left w:val="none" w:color="FFFFFF" w:sz="0"/>
              <w:bottom w:val="none" w:color="FFFFFF" w:sz="0"/>
              <w:right w:val="none" w:color="FFFFFF" w:sz="0"/>
            </w:tcBorders>
            <w:tcMar>
              <w:top w:type="dxa" w:w="40"/>
              <w:left w:type="dxa" w:w="300"/>
              <w:bottom w:type="dxa" w:w="40"/>
              <w:right w:type="dxa" w:w="100"/>
            </w:tcMar>
          </w:tcPr>
          <w:p>
            <w:r>
              <w:rPr>
                <w:rFonts w:ascii="Calibri" w:cs="Calibri" w:eastAsia="Calibri" w:hAnsi="Calibri"/>
                <w:b w:val="false"/>
                <w:bCs w:val="false"/>
                <w:sz w:val="19"/>
                <w:szCs w:val="19"/>
              </w:rPr>
              <w:t xml:space="preserve">Retrieval quality: the precondition for trustworthy grounding</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val="false"/>
                <w:bCs w:val="false"/>
                <w:sz w:val="19"/>
                <w:szCs w:val="19"/>
              </w:rPr>
              <w:t xml:space="preserve">10</w:t>
            </w:r>
          </w:p>
        </w:tc>
      </w:tr>
      <w:tr>
        <w:tc>
          <w:tcPr>
            <w:tcW w:type="dxa" w:w="8400"/>
            <w:tcBorders>
              <w:top w:val="none" w:color="FFFFFF" w:sz="0"/>
              <w:left w:val="none" w:color="FFFFFF" w:sz="0"/>
              <w:bottom w:val="none" w:color="FFFFFF" w:sz="0"/>
              <w:right w:val="none" w:color="FFFFFF" w:sz="0"/>
            </w:tcBorders>
            <w:tcMar>
              <w:top w:type="dxa" w:w="40"/>
              <w:left w:type="dxa" w:w="300"/>
              <w:bottom w:type="dxa" w:w="40"/>
              <w:right w:type="dxa" w:w="100"/>
            </w:tcMar>
          </w:tcPr>
          <w:p>
            <w:r>
              <w:rPr>
                <w:rFonts w:ascii="Calibri" w:cs="Calibri" w:eastAsia="Calibri" w:hAnsi="Calibri"/>
                <w:b w:val="false"/>
                <w:bCs w:val="false"/>
                <w:sz w:val="19"/>
                <w:szCs w:val="19"/>
              </w:rPr>
              <w:t xml:space="preserve">Judge fine-tuning: current status</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val="false"/>
                <w:bCs w:val="false"/>
                <w:sz w:val="19"/>
                <w:szCs w:val="19"/>
              </w:rPr>
              <w:t xml:space="preserve">11</w:t>
            </w:r>
          </w:p>
        </w:tc>
      </w:tr>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6.  Limitations and Ethical Considerations</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12</w:t>
            </w:r>
          </w:p>
        </w:tc>
      </w:tr>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7.  Conclusion and Future Directions</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14</w:t>
            </w:r>
          </w:p>
        </w:tc>
      </w:tr>
      <w:tr>
        <w:tc>
          <w:tcPr>
            <w:tcW w:type="dxa" w:w="84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sz w:val="22"/>
                <w:szCs w:val="22"/>
              </w:rPr>
              <w:t xml:space="preserve">References</w:t>
            </w:r>
          </w:p>
        </w:tc>
        <w:tc>
          <w:tcPr>
            <w:tcW w:type="dxa" w:w="95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Calibri" w:cs="Calibri" w:eastAsia="Calibri" w:hAnsi="Calibri"/>
                <w:b/>
                <w:bCs/>
                <w:sz w:val="22"/>
                <w:szCs w:val="22"/>
              </w:rPr>
              <w:t xml:space="preserve">15</w:t>
            </w:r>
          </w:p>
        </w:tc>
      </w:tr>
    </w:tbl>
    <w:p>
      <w:r>
        <w:br w:type="page"/>
      </w:r>
    </w:p>
    <w:p>
      <w:pPr>
        <w:pStyle w:val="Heading1"/>
        <w:spacing w:after="200" w:before="400"/>
      </w:pPr>
      <w:r>
        <w:rPr>
          <w:rFonts w:ascii="Calibri" w:cs="Calibri" w:eastAsia="Calibri" w:hAnsi="Calibri"/>
          <w:b/>
          <w:bCs/>
          <w:color w:val="1F3864"/>
          <w:sz w:val="30"/>
          <w:szCs w:val="30"/>
        </w:rPr>
        <w:t xml:space="preserve">1. Motivation</w:t>
      </w:r>
    </w:p>
    <w:p>
      <w:pPr>
        <w:spacing w:after="160" w:line="276"/>
        <w:jc w:val="both"/>
      </w:pPr>
      <w:r>
        <w:rPr>
          <w:rFonts w:ascii="Calibri" w:cs="Calibri" w:eastAsia="Calibri" w:hAnsi="Calibri"/>
          <w:b w:val="false"/>
          <w:bCs w:val="false"/>
          <w:i w:val="false"/>
          <w:iCs w:val="false"/>
          <w:sz w:val="22"/>
          <w:szCs w:val="22"/>
        </w:rPr>
        <w:t xml:space="preserve">The GDPR gives organisations wide latitude in how they write a privacy policy, but very little latitude in what that policy must actually say: a lawful basis for each processing purpose, the identity and contact details of the controller and, where applicable, its Data Protection Officer, the categories of data and recipients, retention periods, the specific data-subject rights available and how to exercise them, and, where data leaves the EEA, the transfer mechanism relied upon. Checking a single policy against this surface is a few hours of skilled legal work; checking it well — tracing every clause back to the article it is meant to satisfy — is closer to a day. Organisations rarely have only one policy to check: a mid-sized company maintains policies for its own site, its mobile apps, and dozens of third-party vendor and processor relationships, each of which changes on its own schedule. Manual review does not scale to that volume, and it does not scale to the frequency at which policies actually change — which is why review in practice happens rarely, reactively, or not at all.</w:t>
      </w:r>
    </w:p>
    <w:p>
      <w:pPr>
        <w:spacing w:after="160" w:line="276"/>
        <w:jc w:val="both"/>
      </w:pPr>
      <w:r>
        <w:rPr>
          <w:rFonts w:ascii="Calibri" w:cs="Calibri" w:eastAsia="Calibri" w:hAnsi="Calibri"/>
          <w:b w:val="false"/>
          <w:bCs w:val="false"/>
          <w:i w:val="false"/>
          <w:iCs w:val="false"/>
          <w:sz w:val="22"/>
          <w:szCs w:val="22"/>
        </w:rPr>
        <w:t xml:space="preserve">The obvious response — automate the first pass — already has commercial offerings. As Section 2 details, the incumbents split into two families: enterprise platforms that have layered “AI” document scanning onto what remains, fundamentally, workflow and data-mapping software, and SMB-oriented tools that generate a policy from a questionnaire rather than analyse one that already exists. Across both families, and across every vendor we reviewed, the scoring logic, the underlying model, and the validation methodology are undisclosed. A privacy team adopting one of these tools has no way to know why a policy received the assessment it did, cannot check the tool's determination against the specific article it is meant to test, and cannot reproduce a result independently. For a task whose entire value proposition is </w:t>
      </w:r>
      <w:r>
        <w:rPr>
          <w:rFonts w:ascii="Calibri" w:cs="Calibri" w:eastAsia="Calibri" w:hAnsi="Calibri"/>
          <w:b w:val="false"/>
          <w:bCs w:val="false"/>
          <w:i/>
          <w:iCs/>
          <w:sz w:val="22"/>
          <w:szCs w:val="22"/>
        </w:rPr>
        <w:t xml:space="preserve">compliance assurance</w:t>
      </w:r>
      <w:r>
        <w:rPr>
          <w:rFonts w:ascii="Calibri" w:cs="Calibri" w:eastAsia="Calibri" w:hAnsi="Calibri"/>
          <w:b w:val="false"/>
          <w:bCs w:val="false"/>
          <w:i w:val="false"/>
          <w:iCs w:val="false"/>
          <w:sz w:val="22"/>
          <w:szCs w:val="22"/>
        </w:rPr>
        <w:t xml:space="preserve">, that opacity is a serious defect, not a cosmetic one: a wrong verdict that cannot be traced to its cause is worse than no verdict, because it invites false confidence.</w:t>
      </w:r>
    </w:p>
    <w:p>
      <w:pPr>
        <w:spacing w:after="160" w:line="276"/>
        <w:jc w:val="both"/>
      </w:pPr>
      <w:r>
        <w:rPr>
          <w:rFonts w:ascii="Calibri" w:cs="Calibri" w:eastAsia="Calibri" w:hAnsi="Calibri"/>
          <w:b w:val="false"/>
          <w:bCs w:val="false"/>
          <w:i w:val="false"/>
          <w:iCs w:val="false"/>
          <w:sz w:val="22"/>
          <w:szCs w:val="22"/>
        </w:rPr>
        <w:t xml:space="preserve">There is a second, more specific irony worth naming directly. A privacy-policy compliance tool that sends the full text of a customer's policy — and, implicitly, a signal about how that customer handles personal data — to a third-party commercial API is itself creating an undisclosed third-party data flow of exactly the kind GDPR asks controllers to account for. A tool built to help an organisation take data protection seriously should not, in the course of doing so, casually reproduce the problem it is meant to catch.</w:t>
      </w:r>
    </w:p>
    <w:p>
      <w:pPr>
        <w:spacing w:after="160" w:line="276"/>
        <w:jc w:val="both"/>
      </w:pPr>
      <w:r>
        <w:rPr>
          <w:rFonts w:ascii="Calibri" w:cs="Calibri" w:eastAsia="Calibri" w:hAnsi="Calibri"/>
          <w:b w:val="false"/>
          <w:bCs w:val="false"/>
          <w:i w:val="false"/>
          <w:iCs w:val="false"/>
          <w:sz w:val="22"/>
          <w:szCs w:val="22"/>
        </w:rPr>
        <w:t xml:space="preserve">This project is motivated by the position that automated compliance assessment is worth pursuing precisely because manual review does not scale, but that it is only worth trusting if it is transparent: every verdict traceable to a specific, citable piece of the regulation; every scoring decision readable in a configuration file rather than hidden behind a vendor's marketing claims; and every component — retrieval, judge, and scoring — open enough to be inspected, re-run, and challenged by the people who have to stand behind its output. The remainder of this paper describes a prototype built to that standard, and is explicit throughout about where it currently falls short of it.</w:t>
      </w:r>
    </w:p>
    <w:p>
      <w:pPr>
        <w:pStyle w:val="Heading1"/>
        <w:spacing w:after="200" w:before="400"/>
      </w:pPr>
      <w:r>
        <w:rPr>
          <w:rFonts w:ascii="Calibri" w:cs="Calibri" w:eastAsia="Calibri" w:hAnsi="Calibri"/>
          <w:b/>
          <w:bCs/>
          <w:color w:val="1F3864"/>
          <w:sz w:val="30"/>
          <w:szCs w:val="30"/>
        </w:rPr>
        <w:t xml:space="preserve">2. Related Work and Gaps</w:t>
      </w:r>
    </w:p>
    <w:p>
      <w:pPr>
        <w:spacing w:after="160" w:line="276"/>
        <w:jc w:val="both"/>
      </w:pPr>
      <w:r>
        <w:rPr>
          <w:rFonts w:ascii="Calibri" w:cs="Calibri" w:eastAsia="Calibri" w:hAnsi="Calibri"/>
          <w:b w:val="false"/>
          <w:bCs w:val="false"/>
          <w:i w:val="false"/>
          <w:iCs w:val="false"/>
          <w:sz w:val="22"/>
          <w:szCs w:val="22"/>
        </w:rPr>
        <w:t xml:space="preserve">Automated analysis of privacy-policy text has a decade-long academic lineage that predates GDPR and, more recently, a wave of work that uses large language models (LLMs) directly as the analysis engine. The trajectory is informative in its own right. Early systems such as Polisis (2018) trained hierarchical CNN/RNN classifiers to sort policy segments into roughly ten data-practice categories, powering a conversational front-end (PriBot) built on similarity search over the classifier's own output — a precursor to “chat with a policy,” but not a compliance judgment of any kind. PolicyLint (2019) took a different, purely symbolic route: dependency parsing and ontology matching to extract (actor, action, data, entity) tuples and flag internal contradictions, again without producing a compliance score. CLAUDETTE (2018–19) is the closest pre-LLM system to the goal of this project, applying supervised classifiers to flag potentially unfair or non-transparent clauses against specific fairness criteria drawn from GDPR, but at sentence-level granularity and without full-article coverage.</w:t>
      </w:r>
    </w:p>
    <w:p>
      <w:pPr>
        <w:spacing w:after="160" w:line="276"/>
        <w:jc w:val="both"/>
      </w:pPr>
      <w:r>
        <w:rPr>
          <w:rFonts w:ascii="Calibri" w:cs="Calibri" w:eastAsia="Calibri" w:hAnsi="Calibri"/>
          <w:b w:val="false"/>
          <w:bCs w:val="false"/>
          <w:i w:val="false"/>
          <w:iCs w:val="false"/>
          <w:sz w:val="22"/>
          <w:szCs w:val="22"/>
        </w:rPr>
        <w:t xml:space="preserve">PolicyGPT (2023) marks the pivot point the current wave of work extends: zero-shot prompting of a general-purpose commercial LLM (ChatGPT/GPT-4) for the same segment-classification task Polisis addressed with a trained classifier, with no fine-tuning and no dependence on — or possibility of releasing — open model weights, since the “model” is simply a hosted API call. Three 2024–2026 systems push this pivot toward compliance judgment specifically and are the closest prior art to this project: a word-level GDPR transparency annotator (arXiv:2503.10727) that combines passage classification, retrieval-augmented generation, and self-correction to produce span-level annotations against 21 transparency requirements drawn from Articles 13–14 — the first confirmed use of RAG in this literature, but scoped to disclosure/transparency obligations rather than GDPR's broader compliance surface; a USENIX Security 2025 system (Xie et al.) that judges privacy policies against a fixed, hand-distilled list of 34 clauses spanning ten privacy laws including GDPR, evaluated at the scale of over 100,000 websites and carrying an “Artifact Evaluation Available” badge that should be checked directly before any novelty claim is finalised against it; and RegCheck (FSE 2025), which moves the compliance-checking paradigm to Android application code and manifests rather than policy text, usefully bounding the scope of what “privacy-policy text analysis” does and does not cover.</w:t>
      </w:r>
    </w:p>
    <w:p>
      <w:pPr>
        <w:spacing w:after="160" w:line="276"/>
        <w:jc w:val="both"/>
      </w:pPr>
      <w:r>
        <w:rPr>
          <w:rFonts w:ascii="Calibri" w:cs="Calibri" w:eastAsia="Calibri" w:hAnsi="Calibri"/>
          <w:b w:val="false"/>
          <w:bCs w:val="false"/>
          <w:i w:val="false"/>
          <w:iCs w:val="false"/>
          <w:sz w:val="22"/>
          <w:szCs w:val="22"/>
        </w:rPr>
        <w:t xml:space="preserve">The datasets underlying this literature tell a complementary story. OPP-115 (2016), the field's foundational corpus of 115 annotated website policies, predates GDPR and was designed to be law-agnostic: a dedicated mapping study cross-walking its ten categories against all 99 GDPR articles found a structural mismatch — OPP-115 separates first-party from third-party collection as distinct categories, while GDPR's Article 5 principles apply uniformly regardless of party. APP-350 (2019) extends the same law-agnostic annotation style to mobile-app policies at larger scale; PolicyIE (2021) is the most GDPR-conscious of the classic corpora, aligning its five intent categories with GDPR's four core data-handling practices, but at only 31 policies — far too small to fine-tune a modern LLM judge on its own; and PrivaSeer (2021) offers over a million unannotated policies, valuable as a pretraining or evaluation corpus but carrying no compliance labels at all. None of these resources anchors output to explicit, article-level GDPR compliance judgments with a public, reproducible methodology.</w:t>
      </w:r>
    </w:p>
    <w:p>
      <w:pPr>
        <w:spacing w:after="160" w:line="276"/>
        <w:jc w:val="both"/>
      </w:pPr>
      <w:r>
        <w:rPr>
          <w:rFonts w:ascii="Calibri" w:cs="Calibri" w:eastAsia="Calibri" w:hAnsi="Calibri"/>
          <w:b w:val="false"/>
          <w:bCs w:val="false"/>
          <w:i w:val="false"/>
          <w:iCs w:val="false"/>
          <w:sz w:val="22"/>
          <w:szCs w:val="22"/>
        </w:rPr>
        <w:t xml:space="preserve">On the commercial side, the enterprise privacy-management platforms (OneTrust, TrustArc) are, at their core, workflow and data-mapping products for DPIAs, consent management, and vendor risk, onto which AI-assisted document scanning and summarisation have recently been layered; TrustArc's “Intelligent GDPR Assessments” and certification services still rely on human assessors for the actual determination. The SMB-oriented tools (Osano, Termly, iubenda) are primarily policy generators and consent-banner scanners: their strength is producing or checking a policy against a template, not performing independent semantic analysis of an arbitrary, already-published policy's substantive claims. Every vendor we reviewed discloses AI-related marketing language without disclosing a scoring rubric, a mapping from output to specific GDPR articles, or any validation data — a gap in disclosure, not merely a gap in our review, and one a project that publishes its retrieval traces, its rubric, and its evaluation protocol can credibly claim to fill.</w:t>
      </w:r>
    </w:p>
    <w:p>
      <w:pPr>
        <w:pStyle w:val="Heading2"/>
        <w:spacing w:after="140" w:before="280"/>
      </w:pPr>
      <w:r>
        <w:rPr>
          <w:rFonts w:ascii="Calibri" w:cs="Calibri" w:eastAsia="Calibri" w:hAnsi="Calibri"/>
          <w:b/>
          <w:bCs/>
          <w:color w:val="2E5395"/>
          <w:sz w:val="25"/>
          <w:szCs w:val="25"/>
        </w:rPr>
        <w:t xml:space="preserve">Synthesis: what remains open</w:t>
      </w:r>
    </w:p>
    <w:p>
      <w:pPr>
        <w:pStyle w:val="ListParagraph"/>
        <w:numPr>
          <w:ilvl w:val="0"/>
          <w:numId w:val="2"/>
        </w:numPr>
        <w:spacing w:after="100" w:line="264"/>
      </w:pPr>
      <w:r>
        <w:rPr>
          <w:rFonts w:ascii="Calibri" w:cs="Calibri" w:eastAsia="Calibri" w:hAnsi="Calibri"/>
          <w:sz w:val="22"/>
          <w:szCs w:val="22"/>
        </w:rPr>
        <w:t xml:space="preserve">No academic system in the 2023–2026 LLM-based wave ships a fine-tuned, open-weight GDPR judge model; all rely on zero-/few-shot prompting of closed commercial APIs, which cannot in principle be released as inspectable weights.</w:t>
      </w:r>
    </w:p>
    <w:p>
      <w:pPr>
        <w:pStyle w:val="ListParagraph"/>
        <w:numPr>
          <w:ilvl w:val="0"/>
          <w:numId w:val="2"/>
        </w:numPr>
        <w:spacing w:after="100" w:line="264"/>
      </w:pPr>
      <w:r>
        <w:rPr>
          <w:rFonts w:ascii="Calibri" w:cs="Calibri" w:eastAsia="Calibri" w:hAnsi="Calibri"/>
          <w:sz w:val="22"/>
          <w:szCs w:val="22"/>
        </w:rPr>
        <w:t xml:space="preserve">No dataset or system anchors verdicts to explicit GDPR articles at fine granularity with a public methodology across GDPR's full compliance surface — the closest work (arXiv:2503.10727) is scoped to transparency obligations only, and Xie et al. distil a fixed 34-clause list across ten laws rather than retrieving live from statutory text per judgment.</w:t>
      </w:r>
    </w:p>
    <w:p>
      <w:pPr>
        <w:pStyle w:val="ListParagraph"/>
        <w:numPr>
          <w:ilvl w:val="0"/>
          <w:numId w:val="2"/>
        </w:numPr>
        <w:spacing w:after="100" w:line="264"/>
      </w:pPr>
      <w:r>
        <w:rPr>
          <w:rFonts w:ascii="Calibri" w:cs="Calibri" w:eastAsia="Calibri" w:hAnsi="Calibri"/>
          <w:sz w:val="22"/>
          <w:szCs w:val="22"/>
        </w:rPr>
        <w:t xml:space="preserve">The commercial market is opaque by default: none of the five vendors reviewed publish a reproducible scoring methodology, and this absence of disclosure is itself the gap a transparent research system can be measured against.</w:t>
      </w:r>
    </w:p>
    <w:p>
      <w:pPr>
        <w:pStyle w:val="ListParagraph"/>
        <w:numPr>
          <w:ilvl w:val="0"/>
          <w:numId w:val="2"/>
        </w:numPr>
        <w:spacing w:after="100" w:line="264"/>
      </w:pPr>
      <w:r>
        <w:rPr>
          <w:rFonts w:ascii="Calibri" w:cs="Calibri" w:eastAsia="Calibri" w:hAnsi="Calibri"/>
          <w:sz w:val="22"/>
          <w:szCs w:val="22"/>
        </w:rPr>
        <w:t xml:space="preserve">No reviewed system combines RAG grounding in primary legal text with LLM-as-judge scoring specifically for GDPR, end to end, with both components openly documented.</w:t>
      </w:r>
    </w:p>
    <w:p>
      <w:pPr>
        <w:spacing w:after="160" w:line="276"/>
        <w:jc w:val="both"/>
      </w:pPr>
      <w:r>
        <w:rPr>
          <w:rFonts w:ascii="Calibri" w:cs="Calibri" w:eastAsia="Calibri" w:hAnsi="Calibri"/>
          <w:b w:val="false"/>
          <w:bCs w:val="false"/>
          <w:i w:val="false"/>
          <w:iCs w:val="false"/>
          <w:sz w:val="22"/>
          <w:szCs w:val="22"/>
        </w:rPr>
        <w:t xml:space="preserve">We treat these as the gaps this project targets, and we return to each of them, with the appropriate caveats, in Section 4.</w:t>
      </w:r>
    </w:p>
    <w:p>
      <w:r>
        <w:br w:type="page"/>
      </w:r>
    </w:p>
    <w:p>
      <w:pPr>
        <w:pStyle w:val="Heading1"/>
        <w:spacing w:after="200" w:before="400"/>
      </w:pPr>
      <w:r>
        <w:rPr>
          <w:rFonts w:ascii="Calibri" w:cs="Calibri" w:eastAsia="Calibri" w:hAnsi="Calibri"/>
          <w:b/>
          <w:bCs/>
          <w:color w:val="1F3864"/>
          <w:sz w:val="30"/>
          <w:szCs w:val="30"/>
        </w:rPr>
        <w:t xml:space="preserve">3. Our Approach</w:t>
      </w:r>
    </w:p>
    <w:p>
      <w:pPr>
        <w:spacing w:after="160" w:line="276"/>
        <w:jc w:val="both"/>
      </w:pPr>
      <w:r>
        <w:rPr>
          <w:rFonts w:ascii="Calibri" w:cs="Calibri" w:eastAsia="Calibri" w:hAnsi="Calibri"/>
          <w:b w:val="false"/>
          <w:bCs w:val="false"/>
          <w:i w:val="false"/>
          <w:iCs w:val="false"/>
          <w:sz w:val="22"/>
          <w:szCs w:val="22"/>
        </w:rPr>
        <w:t xml:space="preserve">At a high level, the pipeline takes a privacy policy (PDF or plain text), segments it into clauses, retrieves the GDPR articles, recitals, and EDPB guidance most relevant to each clause from a locally built retrieval index, judges every (clause, retrieved-reference) pair with a fine-tuned open-source LLM, and aggregates the resulting verdicts into a compliance score at the article, chapter, and overall level.</w:t>
      </w:r>
    </w:p>
    <w:p>
      <w:pPr>
        <w:spacing w:after="200" w:before="120"/>
        <w:jc w:val="center"/>
      </w:pPr>
      <w:r>
        <w:rPr>
          <w:rFonts w:ascii="Consolas" w:cs="Consolas" w:eastAsia="Consolas" w:hAnsi="Consolas"/>
          <w:i/>
          <w:iCs/>
          <w:color w:val="1F3864"/>
          <w:sz w:val="19"/>
          <w:szCs w:val="19"/>
        </w:rPr>
        <w:t xml:space="preserve">policy text → clause segmentation → RAG retrieval (GDPR + EDPB) → fine-tuned judge → per-article verdicts → configurable scoring</w:t>
      </w:r>
    </w:p>
    <w:p>
      <w:pPr>
        <w:spacing w:after="160" w:line="276"/>
        <w:jc w:val="both"/>
      </w:pPr>
      <w:r>
        <w:rPr>
          <w:rFonts w:ascii="Calibri" w:cs="Calibri" w:eastAsia="Calibri" w:hAnsi="Calibri"/>
          <w:b w:val="false"/>
          <w:bCs w:val="false"/>
          <w:i w:val="false"/>
          <w:iCs w:val="false"/>
          <w:sz w:val="22"/>
          <w:szCs w:val="22"/>
        </w:rPr>
        <w:t xml:space="preserve">The retrieval stage indexes GDPR article and recital text and EDPB guideline PDFs locally, using open embedding and reranking models rather than a hosted embedding API. Retrieval runs in one of three modes: dense cosine search alone, a hybrid mode that fuses dense search with a lexical BM25 pass via reciprocal rank fusion, and a reranked mode that re-scores a wider candidate pool with a cross-encoder. Section 5 reports the empirical basis for preferring hybrid-plus-rerank as the default. The judge itself is a QLoRA-fine-tuned adapter over an open base model (Qwen2.5), trained on a supervised dataset built by mapping OPP-115's practice annotations onto specific GDPR articles through an explicit, editable mapping configuration, then grounded against the same canonical GDPR article text the retrieval index serves at inference time. Given a clause and a retrieved reference passage, the judge emits a structured verdict — whether the requirement is addressed, a compliance status, the evidence span it relied on, a rationale, and a confidence score — against a fixed JSON schema shared identically across training, inference, and validation. Verdicts are rolled up per article (and, for articles never retrieved by any clause, marked as not addressed) and then combined into chapter- and policy-level scores through a scoring configuration that specifies, in plain text, how each compliance status maps to a numeric score, which statuses are excluded from scoring altogether, and how chapters are weighted.</w:t>
      </w:r>
    </w:p>
    <w:p>
      <w:pPr>
        <w:pStyle w:val="Heading2"/>
        <w:spacing w:after="140" w:before="280"/>
      </w:pPr>
      <w:r>
        <w:rPr>
          <w:rFonts w:ascii="Calibri" w:cs="Calibri" w:eastAsia="Calibri" w:hAnsi="Calibri"/>
          <w:b/>
          <w:bCs/>
          <w:color w:val="2E5395"/>
          <w:sz w:val="25"/>
          <w:szCs w:val="25"/>
        </w:rPr>
        <w:t xml:space="preserve">Why an open, fine-tuned, inspectable judge instead of a closed-API LLM</w:t>
      </w:r>
    </w:p>
    <w:p>
      <w:pPr>
        <w:spacing w:after="160" w:line="276"/>
        <w:jc w:val="both"/>
      </w:pPr>
      <w:r>
        <w:rPr>
          <w:rFonts w:ascii="Calibri" w:cs="Calibri" w:eastAsia="Calibri" w:hAnsi="Calibri"/>
          <w:b w:val="false"/>
          <w:bCs w:val="false"/>
          <w:i w:val="false"/>
          <w:iCs w:val="false"/>
          <w:sz w:val="22"/>
          <w:szCs w:val="22"/>
        </w:rPr>
        <w:t xml:space="preserve">The design choice most worth defending explicitly is the decision to fine-tune and run a small open model locally rather than prompt a larger, closed, commercial LLM through an API — the approach every reviewed 2023–2025 academic system takes. Four considerations drove this choice.</w:t>
      </w:r>
    </w:p>
    <w:p>
      <w:pPr>
        <w:pStyle w:val="ListParagraph"/>
        <w:numPr>
          <w:ilvl w:val="0"/>
          <w:numId w:val="2"/>
        </w:numPr>
        <w:spacing w:after="100" w:line="264"/>
      </w:pPr>
      <w:r>
        <w:rPr>
          <w:rFonts w:ascii="Calibri" w:cs="Calibri" w:eastAsia="Calibri" w:hAnsi="Calibri"/>
          <w:b/>
          <w:bCs/>
          <w:i w:val="false"/>
          <w:iCs w:val="false"/>
          <w:sz w:val="22"/>
          <w:szCs w:val="22"/>
        </w:rPr>
        <w:t xml:space="preserve">Reproducibility. </w:t>
      </w:r>
      <w:r>
        <w:rPr>
          <w:rFonts w:ascii="Calibri" w:cs="Calibri" w:eastAsia="Calibri" w:hAnsi="Calibri"/>
          <w:b w:val="false"/>
          <w:bCs w:val="false"/>
          <w:i w:val="false"/>
          <w:iCs w:val="false"/>
          <w:sz w:val="22"/>
          <w:szCs w:val="22"/>
        </w:rPr>
        <w:t xml:space="preserve">A closed commercial API is a moving target: providers update, deprecate, and silently change model behaviour on a schedule outside any researcher's control, so a result reported against “GPT-4” today may not be reproducible against whatever answers that name in eighteen months. A fine-tuned open checkpoint is a fixed artifact: the exact weights that produced a reported result can be archived, shared, and rerun bit-for-bit, indefinitely.</w:t>
      </w:r>
    </w:p>
    <w:p>
      <w:pPr>
        <w:pStyle w:val="ListParagraph"/>
        <w:numPr>
          <w:ilvl w:val="0"/>
          <w:numId w:val="2"/>
        </w:numPr>
        <w:spacing w:after="100" w:line="264"/>
      </w:pPr>
      <w:r>
        <w:rPr>
          <w:rFonts w:ascii="Calibri" w:cs="Calibri" w:eastAsia="Calibri" w:hAnsi="Calibri"/>
          <w:b/>
          <w:bCs/>
          <w:i w:val="false"/>
          <w:iCs w:val="false"/>
          <w:sz w:val="22"/>
          <w:szCs w:val="22"/>
        </w:rPr>
        <w:t xml:space="preserve">Cost. </w:t>
      </w:r>
      <w:r>
        <w:rPr>
          <w:rFonts w:ascii="Calibri" w:cs="Calibri" w:eastAsia="Calibri" w:hAnsi="Calibri"/>
          <w:b w:val="false"/>
          <w:bCs w:val="false"/>
          <w:i w:val="false"/>
          <w:iCs w:val="false"/>
          <w:sz w:val="22"/>
          <w:szCs w:val="22"/>
        </w:rPr>
        <w:t xml:space="preserve">Judging a single policy well means many LLM calls — one per (clause, retrieved-reference) pair, often several references per clause — and a serious evaluation protocol multiplies that by every ablation, ranking sweep, and held-out re-run. Metered API pricing turns systematic evaluation into a recurring cost that scales with how rigorously the system is tested; a small model run locally amortises to near-zero marginal cost per additional run, which is precisely the property that makes routine re-evaluation and continuous-integration-style regression testing practical.</w:t>
      </w:r>
    </w:p>
    <w:p>
      <w:pPr>
        <w:pStyle w:val="ListParagraph"/>
        <w:numPr>
          <w:ilvl w:val="0"/>
          <w:numId w:val="2"/>
        </w:numPr>
        <w:spacing w:after="100" w:line="264"/>
      </w:pPr>
      <w:r>
        <w:rPr>
          <w:rFonts w:ascii="Calibri" w:cs="Calibri" w:eastAsia="Calibri" w:hAnsi="Calibri"/>
          <w:b/>
          <w:bCs/>
          <w:i w:val="false"/>
          <w:iCs w:val="false"/>
          <w:sz w:val="22"/>
          <w:szCs w:val="22"/>
        </w:rPr>
        <w:t xml:space="preserve">Transparency. </w:t>
      </w:r>
      <w:r>
        <w:rPr>
          <w:rFonts w:ascii="Calibri" w:cs="Calibri" w:eastAsia="Calibri" w:hAnsi="Calibri"/>
          <w:b w:val="false"/>
          <w:bCs w:val="false"/>
          <w:i w:val="false"/>
          <w:iCs w:val="false"/>
          <w:sz w:val="22"/>
          <w:szCs w:val="22"/>
        </w:rPr>
        <w:t xml:space="preserve">The training data mapping, the prompt and output schema, and the model weights themselves are all inspectable artifacts here — a reviewer can read exactly which OPP-115 signal, mapped through which heuristic rule, shaped a given training example, and can load the adapter and query it directly. A closed API offers none of this: its training data, alignment procedure, and internal behaviour are, by construction, opaque to anyone outside the vendor.</w:t>
      </w:r>
    </w:p>
    <w:p>
      <w:pPr>
        <w:pStyle w:val="ListParagraph"/>
        <w:numPr>
          <w:ilvl w:val="0"/>
          <w:numId w:val="2"/>
        </w:numPr>
        <w:spacing w:after="100" w:line="264"/>
      </w:pPr>
      <w:r>
        <w:rPr>
          <w:rFonts w:ascii="Calibri" w:cs="Calibri" w:eastAsia="Calibri" w:hAnsi="Calibri"/>
          <w:b/>
          <w:bCs/>
          <w:i w:val="false"/>
          <w:iCs w:val="false"/>
          <w:sz w:val="22"/>
          <w:szCs w:val="22"/>
        </w:rPr>
        <w:t xml:space="preserve">Data privacy. </w:t>
      </w:r>
      <w:r>
        <w:rPr>
          <w:rFonts w:ascii="Calibri" w:cs="Calibri" w:eastAsia="Calibri" w:hAnsi="Calibri"/>
          <w:b w:val="false"/>
          <w:bCs w:val="false"/>
          <w:i w:val="false"/>
          <w:iCs w:val="false"/>
          <w:sz w:val="22"/>
          <w:szCs w:val="22"/>
        </w:rPr>
        <w:t xml:space="preserve">Running the judge locally means a privacy policy — and whatever it implies about the submitting organisation's data-handling posture — never has to leave the assessor's own infrastructure. Sending that same text to a third-party commercial API to be judged for compliance would recreate, inside the compliance tool itself, the kind of undisclosed third-party processing relationship the regulation exists to surface. For a tool whose purpose is helping organisations take data protection seriously, this is not a minor implementation detail.</w:t>
      </w:r>
    </w:p>
    <w:p>
      <w:pPr>
        <w:spacing w:after="160" w:line="276"/>
        <w:jc w:val="both"/>
      </w:pPr>
      <w:r>
        <w:rPr>
          <w:rFonts w:ascii="Calibri" w:cs="Calibri" w:eastAsia="Calibri" w:hAnsi="Calibri"/>
          <w:b w:val="false"/>
          <w:bCs w:val="false"/>
          <w:i w:val="false"/>
          <w:iCs w:val="false"/>
          <w:sz w:val="22"/>
          <w:szCs w:val="22"/>
        </w:rPr>
        <w:t xml:space="preserve">None of this is an implicit claim that a small fine-tuned model is more accurate than a frontier commercial model at this task — it may well not be, at least not yet, and we return to that honestly in Sections 5 and 6. The claim is narrower and, we think, more defensible: for a compliance-assessment tool specifically, reproducibility, cost at evaluation scale, transparency, and data privacy are properties worth trading some raw capability for, and an open, fine-tuned, locally run judge is the design that delivers them.</w:t>
      </w:r>
    </w:p>
    <w:p>
      <w:pPr>
        <w:spacing w:after="160" w:line="276"/>
        <w:jc w:val="both"/>
      </w:pPr>
      <w:r>
        <w:rPr>
          <w:rFonts w:ascii="Calibri" w:cs="Calibri" w:eastAsia="Calibri" w:hAnsi="Calibri"/>
          <w:b w:val="false"/>
          <w:bCs w:val="false"/>
          <w:i w:val="false"/>
          <w:iCs w:val="false"/>
          <w:sz w:val="22"/>
          <w:szCs w:val="22"/>
        </w:rPr>
        <w:t xml:space="preserve">Retrieval grounding compounds this argument. Because every verdict is attached to the specific retrieved article, recital, or guideline passage the judge actually saw, a reviewer does not have to trust the judge's rationale in isolation — they can check it against the cited text directly, and the retrieval configuration that produced that citation is itself documented and swappable (Section 5). This is what turns the pipeline's output from a bare score into an auditable trace.</w:t>
      </w:r>
    </w:p>
    <w:p>
      <w:r>
        <w:br w:type="page"/>
      </w:r>
    </w:p>
    <w:p>
      <w:pPr>
        <w:pStyle w:val="Heading1"/>
        <w:spacing w:after="200" w:before="400"/>
      </w:pPr>
      <w:r>
        <w:rPr>
          <w:rFonts w:ascii="Calibri" w:cs="Calibri" w:eastAsia="Calibri" w:hAnsi="Calibri"/>
          <w:b/>
          <w:bCs/>
          <w:color w:val="1F3864"/>
          <w:sz w:val="30"/>
          <w:szCs w:val="30"/>
        </w:rPr>
        <w:t xml:space="preserve">4. What Differentiates This From the State of the Art</w:t>
      </w:r>
    </w:p>
    <w:p>
      <w:pPr>
        <w:spacing w:after="160" w:line="276"/>
        <w:jc w:val="both"/>
      </w:pPr>
      <w:r>
        <w:rPr>
          <w:rFonts w:ascii="Calibri" w:cs="Calibri" w:eastAsia="Calibri" w:hAnsi="Calibri"/>
          <w:b w:val="false"/>
          <w:bCs w:val="false"/>
          <w:i w:val="false"/>
          <w:iCs w:val="false"/>
          <w:sz w:val="22"/>
          <w:szCs w:val="22"/>
        </w:rPr>
        <w:t xml:space="preserve">Table 1 summarises the concrete differences argued for in Sections 2 and 3. We state these as specific, checkable claims rather than a general assertion of novelty, and we flag the two places where the claim needs to be read narrowly.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50"/>
      </w:tblGrid>
      <w:tr>
        <w:trPr>
          <w:tblHeader/>
        </w:trPr>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Criterion</w:t>
            </w:r>
          </w:p>
        </w:tc>
        <w:tc>
          <w:tcPr>
            <w:tcW w:type="dxa" w:w="3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 LLM-based &amp; commercial systems</w:t>
            </w:r>
          </w:p>
        </w:tc>
        <w:tc>
          <w:tcPr>
            <w:tcW w:type="dxa" w:w="35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This project</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Judge model</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Closed commercial APIs (PolicyGPT, Xie et al.) or undisclosed model (OneTrust, TrustArc)</w:t>
            </w:r>
          </w:p>
        </w:tc>
        <w:tc>
          <w:tcPr>
            <w:tcW w:type="dxa" w:w="3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Open-weight, QLoRA fine-tuned (Qwen2.5), released for independent inspection and re-run</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Grounding</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Fixed hand-authored clause list (Xie et al.: 34 clauses / 10 laws) or classifier output; no live citation of statutory text</w:t>
            </w:r>
          </w:p>
        </w:tc>
        <w:tc>
          <w:tcPr>
            <w:tcW w:type="dxa" w:w="3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RAG retrieval from an indexed corpus of GDPR articles, recitals, and EDPB guidance, cited per verdict</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Scope</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Transparency-only (Art. 13–14, arXiv:2503.10727) or multi-law generalist (Xie et al., GDPR is 1 of 10 laws)</w:t>
            </w:r>
          </w:p>
        </w:tc>
        <w:tc>
          <w:tcPr>
            <w:tcW w:type="dxa" w:w="3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GDPR-exclusive by design; spans Chapters II–V (principles, rights, controller/processor obligations, transfers)</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Scoring methodology</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Undisclosed rubric — confirmed across all five commercial vendors reviewed</w:t>
            </w:r>
          </w:p>
        </w:tc>
        <w:tc>
          <w:tcPr>
            <w:tcW w:type="dxa" w:w="3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Plain-text, version-controlled configuration: status→score mapping, chapter weights, and exclusions are all human-readable</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Deployment</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Third-party API call required; policy text leaves the assessor's infrastructure</w:t>
            </w:r>
          </w:p>
        </w:tc>
        <w:tc>
          <w:tcPr>
            <w:tcW w:type="dxa" w:w="3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Runs locally; policy text need not leave the assessor's own infrastructure</w:t>
            </w:r>
          </w:p>
        </w:tc>
      </w:tr>
      <w:tr>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Reproducibility</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Subject to vendor model updates, deprecation, and undisclosed behaviour changes</w:t>
            </w:r>
          </w:p>
        </w:tc>
        <w:tc>
          <w:tcPr>
            <w:tcW w:type="dxa" w:w="3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Fixed open checkpoint; the same weights can be rerun indefinitely against the same input</w:t>
            </w:r>
          </w:p>
        </w:tc>
      </w:tr>
    </w:tbl>
    <w:p>
      <w:pPr>
        <w:spacing w:after="240" w:before="80"/>
        <w:jc w:val="center"/>
      </w:pPr>
      <w:r>
        <w:rPr>
          <w:rFonts w:ascii="Calibri" w:cs="Calibri" w:eastAsia="Calibri" w:hAnsi="Calibri"/>
          <w:i/>
          <w:iCs/>
          <w:color w:val="555555"/>
          <w:sz w:val="19"/>
          <w:szCs w:val="19"/>
        </w:rPr>
        <w:t xml:space="preserve">Table 1. This project's design choices against the closest reviewed academic and commercial systems.</w:t>
      </w:r>
    </w:p>
    <w:p>
      <w:pPr>
        <w:spacing w:after="160" w:line="276"/>
        <w:jc w:val="both"/>
      </w:pPr>
      <w:r>
        <w:rPr>
          <w:rFonts w:ascii="Calibri" w:cs="Calibri" w:eastAsia="Calibri" w:hAnsi="Calibri"/>
          <w:b w:val="false"/>
          <w:bCs w:val="false"/>
          <w:i w:val="false"/>
          <w:iCs w:val="false"/>
          <w:sz w:val="22"/>
          <w:szCs w:val="22"/>
        </w:rPr>
        <w:t xml:space="preserve">Two honesty notes are owed here. First, the claim of being “GDPR-exclusive” and article-grounded should not be read as “first LLM-based privacy-policy judge of any kind” — Xie et al. (USENIX Security 2025) already operate an LLM-as-judge system at far larger scale (100,000+ websites) and carry a USENIX “Artifact Evaluation Available” badge suggesting a partial code or data release; before any stronger novelty claim is published, that artifact should be read in full to confirm it does not already ship an open, fine-tuned judge with article-level RAG grounding, which would narrow the claims in Table 1's first two rows. Second, article-level traceability is a property of the pipeline's design — every verdict is attached to a retrieved, citable passage — not yet a property backed by a large-scale, independently audited accuracy evaluation of the judge itself; Section 5 is explicit about what has and has not been measured so far.</w:t>
      </w:r>
    </w:p>
    <w:p>
      <w:pPr>
        <w:spacing w:after="160" w:line="276"/>
        <w:jc w:val="both"/>
      </w:pPr>
      <w:r>
        <w:rPr>
          <w:rFonts w:ascii="Calibri" w:cs="Calibri" w:eastAsia="Calibri" w:hAnsi="Calibri"/>
          <w:b w:val="false"/>
          <w:bCs w:val="false"/>
          <w:i w:val="false"/>
          <w:iCs w:val="false"/>
          <w:sz w:val="22"/>
          <w:szCs w:val="22"/>
        </w:rPr>
        <w:t xml:space="preserve">With those caveats stated, the differentiation we are confident in making is narrower and more defensible than “better than the state of the art”: this is, to our knowledge, the only reviewed system that combines (a) an open, fine-tuned judge model, (b) live retrieval grounding in primary GDPR and EDPB text rather than a fixed clause list, and (c) a published, editable scoring methodology, specifically for GDPR rather than as one law among several. Each of (a)–(c) exists individually elsewhere in the literature or the market; the combination, and the fact that all three are simultaneously open to inspection, does not.</w:t>
      </w:r>
    </w:p>
    <w:p>
      <w:r>
        <w:br w:type="page"/>
      </w:r>
    </w:p>
    <w:p>
      <w:pPr>
        <w:pStyle w:val="Heading1"/>
        <w:spacing w:after="200" w:before="400"/>
      </w:pPr>
      <w:r>
        <w:rPr>
          <w:rFonts w:ascii="Calibri" w:cs="Calibri" w:eastAsia="Calibri" w:hAnsi="Calibri"/>
          <w:b/>
          <w:bCs/>
          <w:color w:val="1F3864"/>
          <w:sz w:val="30"/>
          <w:szCs w:val="30"/>
        </w:rPr>
        <w:t xml:space="preserve">5. Results Summary</w:t>
      </w:r>
    </w:p>
    <w:p>
      <w:pPr>
        <w:spacing w:after="160" w:line="276"/>
        <w:jc w:val="both"/>
      </w:pPr>
      <w:r>
        <w:rPr>
          <w:rFonts w:ascii="Calibri" w:cs="Calibri" w:eastAsia="Calibri" w:hAnsi="Calibri"/>
          <w:b w:val="false"/>
          <w:bCs w:val="false"/>
          <w:i w:val="false"/>
          <w:iCs w:val="false"/>
          <w:sz w:val="22"/>
          <w:szCs w:val="22"/>
        </w:rPr>
        <w:t xml:space="preserve">This section reports results at the level needed to justify the system's current configuration and to be honest about its current maturity; full metrics tables, per-class breakdowns, and dataset statistics are reported in the accompanying technical report, which this white paper defers to rather than duplicates.</w:t>
      </w:r>
    </w:p>
    <w:p>
      <w:pPr>
        <w:pStyle w:val="Heading2"/>
        <w:spacing w:after="140" w:before="280"/>
      </w:pPr>
      <w:r>
        <w:rPr>
          <w:rFonts w:ascii="Calibri" w:cs="Calibri" w:eastAsia="Calibri" w:hAnsi="Calibri"/>
          <w:b/>
          <w:bCs/>
          <w:color w:val="2E5395"/>
          <w:sz w:val="25"/>
          <w:szCs w:val="25"/>
        </w:rPr>
        <w:t xml:space="preserve">Retrieval quality: the precondition for trustworthy grounding</w:t>
      </w:r>
    </w:p>
    <w:p>
      <w:pPr>
        <w:spacing w:after="160" w:line="276"/>
        <w:jc w:val="both"/>
      </w:pPr>
      <w:r>
        <w:rPr>
          <w:rFonts w:ascii="Calibri" w:cs="Calibri" w:eastAsia="Calibri" w:hAnsi="Calibri"/>
          <w:b w:val="false"/>
          <w:bCs w:val="false"/>
          <w:i w:val="false"/>
          <w:iCs w:val="false"/>
          <w:sz w:val="22"/>
          <w:szCs w:val="22"/>
        </w:rPr>
        <w:t xml:space="preserve">Because every judge verdict is only as trustworthy as the statutory text it was grounded in, retrieval quality was evaluated first and independently, against a 142-item hand-labeled benchmark of policy clauses paired with the GDPR article(s) they should retrieve (114 train / 28 held-out; existing corpora such as OPP-115 and PolicyIE could not serve this purpose, since neither uses article-level GDPR labels). Table 2 summarises the headline comparison on the training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Retrieval architecture</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MRR (strict)</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Recall@10 (strict)</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Complete misses (/142)</w:t>
            </w:r>
          </w:p>
        </w:tc>
      </w:tr>
      <w:tr>
        <w:tc>
          <w:tcPr>
            <w:tcW w:type="dxa" w:w="33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Dense-only (baseline)</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0.689</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0.750</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28</w:t>
            </w:r>
          </w:p>
        </w:tc>
      </w:tr>
      <w:tr>
        <w:tc>
          <w:tcPr>
            <w:tcW w:type="dxa" w:w="33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Hybrid (dense + BM25)</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0.752</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0.820</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w:t>
            </w:r>
          </w:p>
        </w:tc>
      </w:tr>
      <w:tr>
        <w:tc>
          <w:tcPr>
            <w:tcW w:type="dxa" w:w="33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Rerank (cross-encoder)</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0.777</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0.838</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18</w:t>
            </w:r>
          </w:p>
        </w:tc>
      </w:tr>
      <w:tr>
        <w:tc>
          <w:tcPr>
            <w:tcW w:type="dxa" w:w="3350"/>
            <w:shd w:fill="F2F2F2" w:val="clear"/>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 Hybrid + Rerank (default config)</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0.756</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0.820</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20</w:t>
            </w:r>
          </w:p>
        </w:tc>
      </w:tr>
    </w:tbl>
    <w:p>
      <w:pPr>
        <w:spacing w:after="240" w:before="80"/>
        <w:jc w:val="center"/>
      </w:pPr>
      <w:r>
        <w:rPr>
          <w:rFonts w:ascii="Calibri" w:cs="Calibri" w:eastAsia="Calibri" w:hAnsi="Calibri"/>
          <w:i/>
          <w:iCs/>
          <w:color w:val="555555"/>
          <w:sz w:val="19"/>
          <w:szCs w:val="19"/>
        </w:rPr>
        <w:t xml:space="preserve">Table 2. Retrieval architecture comparison, strict scoring, n = 114 (train split).</w:t>
      </w:r>
    </w:p>
    <w:p>
      <w:pPr>
        <w:spacing w:after="160" w:line="276"/>
        <w:jc w:val="both"/>
      </w:pPr>
      <w:r>
        <w:rPr>
          <w:rFonts w:ascii="Calibri" w:cs="Calibri" w:eastAsia="Calibri" w:hAnsi="Calibri"/>
          <w:b w:val="false"/>
          <w:bCs w:val="false"/>
          <w:i w:val="false"/>
          <w:iCs w:val="false"/>
          <w:sz w:val="22"/>
          <w:szCs w:val="22"/>
        </w:rPr>
        <w:t xml:space="preserve">The aggregate numbers understate the most operationally important finding. Reranking alone gives the best raw aggregate score, but it does essentially nothing for clauses that require two co-required GDPR articles at once (“compound” clauses, e.g. a cookie-consent clause needing both its Article 6 legal basis and its Article 7 conditions): its compound-clause recall is statistically identical to the unmodified dense baseline (0.25), because reranking can only reorder a candidate pool that dense search already failed to populate correctly. Hybrid retrieval is what fixes this — more than doubling compound-clause recall to 0.58 — because the lexical (BM25) leg reliably surfaces the hand-curated cross-reference chunks linking related articles, which dense embedding similarity systematically under-ranks. For a compliance-grounding use case, silently dropping one of two co-required articles is a materially worse failure mode than a few points of aggregate score, which is why hybrid-plus-rerank, not rerank alone, is this system's default and recommended configuration. A held-out check (n = 28, run once) showed a smaller, noisier gain than the training-split numbers suggest, which we read as a caution against over-trusting small architectural differences on a benchmark of this size rather than as a negative result.</w:t>
      </w:r>
    </w:p>
    <w:p>
      <w:pPr>
        <w:spacing w:after="160" w:line="276"/>
        <w:jc w:val="both"/>
      </w:pPr>
      <w:r>
        <w:rPr>
          <w:rFonts w:ascii="Calibri" w:cs="Calibri" w:eastAsia="Calibri" w:hAnsi="Calibri"/>
          <w:b w:val="false"/>
          <w:bCs w:val="false"/>
          <w:i w:val="false"/>
          <w:iCs w:val="false"/>
          <w:sz w:val="22"/>
          <w:szCs w:val="22"/>
        </w:rPr>
        <w:t xml:space="preserve">Thirteen of the 142 benchmark items — disproportionately paraphrased, “legalese” clauses rather than statute-mirroring language, clustered in topics such as cookie/tracking consent, data minimisation, retention-period disclosure, and legitimate-interest marketing objections — are never retrieved correctly by any tested configuration. This points to a ceiling in the base embedding model's representation of paraphrased legal language, not a fusion or reranking gap, and is recorded as an open problem (Section 7) rather than papered over.</w:t>
      </w:r>
    </w:p>
    <w:p>
      <w:pPr>
        <w:pStyle w:val="Heading2"/>
        <w:spacing w:after="140" w:before="280"/>
      </w:pPr>
      <w:r>
        <w:rPr>
          <w:rFonts w:ascii="Calibri" w:cs="Calibri" w:eastAsia="Calibri" w:hAnsi="Calibri"/>
          <w:b/>
          <w:bCs/>
          <w:color w:val="2E5395"/>
          <w:sz w:val="25"/>
          <w:szCs w:val="25"/>
        </w:rPr>
        <w:t xml:space="preserve">Judge fine-tuning: current status</w:t>
      </w:r>
    </w:p>
    <w:p>
      <w:pPr>
        <w:spacing w:after="160" w:line="276"/>
        <w:jc w:val="both"/>
      </w:pPr>
      <w:r>
        <w:rPr>
          <w:rFonts w:ascii="Calibri" w:cs="Calibri" w:eastAsia="Calibri" w:hAnsi="Calibri"/>
          <w:b w:val="false"/>
          <w:bCs w:val="false"/>
          <w:i w:val="false"/>
          <w:iCs w:val="false"/>
          <w:sz w:val="22"/>
          <w:szCs w:val="22"/>
        </w:rPr>
        <w:t xml:space="preserve">The publicly exercised judge checkpoint at the time of writing is a smaller model (Qwen2.5-0.5B) fine-tuned end to end via QLoRA, which validates that the full data pipeline — OPP-115-to-GDPR mapping, supervised fine-tuning, schema-constrained generation, and per-article aggregation — runs correctly and produces schema-valid output, on hardware as modest as a free-tier GPU. It is explicitly a pipeline-validation artifact, not the target judge: the architecture is designed around a larger base model (Qwen2.5-7B-Instruct) trained on the same data and schema, and per-class precision/recall/F1 and JSON-validity metrics for that model, once trained at scale, are reported in the technical report rather than here. We think it is more useful to a reader for this white paper to state that plainly than to report smoke-test numbers as if they represented the system's real accuracy ceiling.</w:t>
      </w:r>
    </w:p>
    <w:p>
      <w:pPr>
        <w:spacing w:after="160" w:line="276"/>
        <w:jc w:val="both"/>
      </w:pPr>
      <w:r>
        <w:rPr>
          <w:rFonts w:ascii="Calibri" w:cs="Calibri" w:eastAsia="Calibri" w:hAnsi="Calibri"/>
          <w:b w:val="false"/>
          <w:bCs w:val="false"/>
          <w:i w:val="false"/>
          <w:iCs w:val="false"/>
          <w:sz w:val="22"/>
          <w:szCs w:val="22"/>
        </w:rPr>
        <w:t xml:space="preserve">Readers looking for detailed benchmark tables, ablations over chunking and candidate-pool width, dataset composition statistics, and the judge's per-compliance-status metrics should consult the accompanying technical report, which this paper is deliberately scoped not to duplicate.</w:t>
      </w:r>
    </w:p>
    <w:p>
      <w:r>
        <w:br w:type="page"/>
      </w:r>
    </w:p>
    <w:p>
      <w:pPr>
        <w:pStyle w:val="Heading1"/>
        <w:spacing w:after="200" w:before="400"/>
      </w:pPr>
      <w:r>
        <w:rPr>
          <w:rFonts w:ascii="Calibri" w:cs="Calibri" w:eastAsia="Calibri" w:hAnsi="Calibri"/>
          <w:b/>
          <w:bCs/>
          <w:color w:val="1F3864"/>
          <w:sz w:val="30"/>
          <w:szCs w:val="30"/>
        </w:rPr>
        <w:t xml:space="preserve">6. Limitations and Ethical Considerations</w:t>
      </w:r>
    </w:p>
    <w:p>
      <w:pPr>
        <w:spacing w:after="160" w:line="276"/>
        <w:jc w:val="both"/>
      </w:pPr>
      <w:r>
        <w:rPr>
          <w:rFonts w:ascii="Calibri" w:cs="Calibri" w:eastAsia="Calibri" w:hAnsi="Calibri"/>
          <w:b w:val="false"/>
          <w:bCs w:val="false"/>
          <w:i w:val="false"/>
          <w:iCs w:val="false"/>
          <w:sz w:val="22"/>
          <w:szCs w:val="22"/>
        </w:rPr>
        <w:t xml:space="preserve">We consider this section as load-bearing as any other in this paper, and we ask readers — particularly practitioners considering deploying a system like this — to read it in full before drawing conclusions from Sections 3–5.</w:t>
      </w:r>
    </w:p>
    <w:p>
      <w:pPr>
        <w:pStyle w:val="Heading2"/>
        <w:spacing w:after="140" w:before="280"/>
      </w:pPr>
      <w:r>
        <w:rPr>
          <w:rFonts w:ascii="Calibri" w:cs="Calibri" w:eastAsia="Calibri" w:hAnsi="Calibri"/>
          <w:b/>
          <w:bCs/>
          <w:color w:val="2E5395"/>
          <w:sz w:val="25"/>
          <w:szCs w:val="25"/>
        </w:rPr>
        <w:t xml:space="preserve">This measures textual signals, not legal compliance</w:t>
      </w:r>
    </w:p>
    <w:p>
      <w:pPr>
        <w:spacing w:after="160" w:line="276"/>
        <w:jc w:val="both"/>
      </w:pPr>
      <w:r>
        <w:rPr>
          <w:rFonts w:ascii="Calibri" w:cs="Calibri" w:eastAsia="Calibri" w:hAnsi="Calibri"/>
          <w:b w:val="false"/>
          <w:bCs w:val="false"/>
          <w:i w:val="false"/>
          <w:iCs w:val="false"/>
          <w:sz w:val="22"/>
          <w:szCs w:val="22"/>
        </w:rPr>
        <w:t xml:space="preserve">The system assesses whether a policy's text discloses what GDPR requires it to disclose, and whether that text is internally consistent with the articles it is judged against. It cannot, and does not attempt to, verify that an organisation's actual data-handling practices match what its policy claims: whether a stated retention period is honestly enforced, whether a named legal basis genuinely applies to the processing in question, whether a Data Protection Impact Assessment was in fact carried out, or whether contracts with processors contain the safeguards Article 28 requires. A policy can score well on textual grounds while the underlying processing is not compliant, and, less commonly, a poorly drafted policy can undersell an organisation that is in fact compliant in practice. Closing that gap requires evidence a policy's text cannot provide on its own, and no version of this system should be read as closing it.</w:t>
      </w:r>
    </w:p>
    <w:p>
      <w:pPr>
        <w:pStyle w:val="Heading2"/>
        <w:spacing w:after="140" w:before="280"/>
      </w:pPr>
      <w:r>
        <w:rPr>
          <w:rFonts w:ascii="Calibri" w:cs="Calibri" w:eastAsia="Calibri" w:hAnsi="Calibri"/>
          <w:b/>
          <w:bCs/>
          <w:color w:val="2E5395"/>
          <w:sz w:val="25"/>
          <w:szCs w:val="25"/>
        </w:rPr>
        <w:t xml:space="preserve">Training data is weak supervision, with documented gaps</w:t>
      </w:r>
    </w:p>
    <w:p>
      <w:pPr>
        <w:spacing w:after="160" w:line="276"/>
        <w:jc w:val="both"/>
      </w:pPr>
      <w:r>
        <w:rPr>
          <w:rFonts w:ascii="Calibri" w:cs="Calibri" w:eastAsia="Calibri" w:hAnsi="Calibri"/>
          <w:b w:val="false"/>
          <w:bCs w:val="false"/>
          <w:i w:val="false"/>
          <w:iCs w:val="false"/>
          <w:sz w:val="22"/>
          <w:szCs w:val="22"/>
        </w:rPr>
        <w:t xml:space="preserve">The judge's supervised fine-tuning data is built by heuristically mapping OPP-115's decade-old, GDPR-agnostic practice annotations onto specific GDPR articles; every generated example is explicitly flagged as weak supervision rather than ground truth for exactly this reason. A dedicated coverage analysis of this mapping (reports/opp115_gdpr_coverage.md) documents, by name, the GDPR requirements this data source cannot ground at all regardless of volume: which specific Article 6(1)(a)–(f) legal basis applies, Article 9 special-category-data conditions, Article 37–39 DPO designation, the specific Article 44–49 cross-border transfer mechanism used, Article 35 DPIA requirements, Article 25 privacy-by-design obligations, Article 22 automated decision-making, Article 18 restriction of processing, and Article 20 data portability. Verdicts touching these specific requirements should currently be treated as low-confidence by construction, not as a system failure to be silently trusted — closing these gaps needs new, purpose-built annotation, not more of the existing data source, and is named explicitly as future work in Section 7.</w:t>
      </w:r>
    </w:p>
    <w:p>
      <w:pPr>
        <w:pStyle w:val="Heading2"/>
        <w:spacing w:after="140" w:before="280"/>
      </w:pPr>
      <w:r>
        <w:rPr>
          <w:rFonts w:ascii="Calibri" w:cs="Calibri" w:eastAsia="Calibri" w:hAnsi="Calibri"/>
          <w:b/>
          <w:bCs/>
          <w:color w:val="2E5395"/>
          <w:sz w:val="25"/>
          <w:szCs w:val="25"/>
        </w:rPr>
        <w:t xml:space="preserve">Retrieval can ground a verdict in the wrong article</w:t>
      </w:r>
    </w:p>
    <w:p>
      <w:pPr>
        <w:spacing w:after="160" w:line="276"/>
        <w:jc w:val="both"/>
      </w:pPr>
      <w:r>
        <w:rPr>
          <w:rFonts w:ascii="Calibri" w:cs="Calibri" w:eastAsia="Calibri" w:hAnsi="Calibri"/>
          <w:b w:val="false"/>
          <w:bCs w:val="false"/>
          <w:i w:val="false"/>
          <w:iCs w:val="false"/>
          <w:sz w:val="22"/>
          <w:szCs w:val="22"/>
        </w:rPr>
        <w:t xml:space="preserve">As Section 5 reports plainly, a meaningful minority of paraphrased or “legalese” clauses are not retrieved correctly by any tested configuration of the current pipeline. Because every downstream verdict depends on what was retrieved, a wrong-article retrieval is a live failure mode that can produce a confidently wrong verdict, not a hypothetical edge case. This is precisely why retrieval quality is reported and evaluated independently of judge accuracy (Section 5), rather than folded into one number that could hide it.</w:t>
      </w:r>
    </w:p>
    <w:p>
      <w:pPr>
        <w:pStyle w:val="Heading2"/>
        <w:spacing w:after="140" w:before="280"/>
      </w:pPr>
      <w:r>
        <w:rPr>
          <w:rFonts w:ascii="Calibri" w:cs="Calibri" w:eastAsia="Calibri" w:hAnsi="Calibri"/>
          <w:b/>
          <w:bCs/>
          <w:color w:val="2E5395"/>
          <w:sz w:val="25"/>
          <w:szCs w:val="25"/>
        </w:rPr>
        <w:t xml:space="preserve">Scope and generalisation</w:t>
      </w:r>
    </w:p>
    <w:p>
      <w:pPr>
        <w:spacing w:after="160" w:line="276"/>
        <w:jc w:val="both"/>
      </w:pPr>
      <w:r>
        <w:rPr>
          <w:rFonts w:ascii="Calibri" w:cs="Calibri" w:eastAsia="Calibri" w:hAnsi="Calibri"/>
          <w:b w:val="false"/>
          <w:bCs w:val="false"/>
          <w:i w:val="false"/>
          <w:iCs w:val="false"/>
          <w:sz w:val="22"/>
          <w:szCs w:val="22"/>
        </w:rPr>
        <w:t xml:space="preserve">The training and evaluation data used so far are English-language and drawn predominantly from policies representative of the OPP-115 corpus's original collection (largely US-headquartered web services). Behaviour on non-English policies, on policies from organisations or sectors underrepresented in that corpus, or on adversarially or unusually structured documents has not been systematically tested and should not be assumed.</w:t>
      </w:r>
    </w:p>
    <w:p>
      <w:pPr>
        <w:pStyle w:val="Heading2"/>
        <w:spacing w:after="140" w:before="280"/>
      </w:pPr>
      <w:r>
        <w:rPr>
          <w:rFonts w:ascii="Calibri" w:cs="Calibri" w:eastAsia="Calibri" w:hAnsi="Calibri"/>
          <w:b/>
          <w:bCs/>
          <w:color w:val="2E5395"/>
          <w:sz w:val="25"/>
          <w:szCs w:val="25"/>
        </w:rPr>
        <w:t xml:space="preserve">Intended use</w:t>
      </w:r>
    </w:p>
    <w:p>
      <w:pPr>
        <w:spacing w:after="160" w:line="276"/>
        <w:jc w:val="both"/>
      </w:pPr>
      <w:r>
        <w:rPr>
          <w:rFonts w:ascii="Calibri" w:cs="Calibri" w:eastAsia="Calibri" w:hAnsi="Calibri"/>
          <w:b w:val="false"/>
          <w:bCs w:val="false"/>
          <w:i w:val="false"/>
          <w:iCs w:val="false"/>
          <w:sz w:val="22"/>
          <w:szCs w:val="22"/>
        </w:rPr>
        <w:t xml:space="preserve">This is a research prototype and a decision-support tool, offered to help a human reviewer triage and prioritise where to look, not a certification of GDPR compliance and not a substitute for qualified legal review. We recommend, and intend, a workflow in which the system's output — particularly any article flagged as non-compliant, not addressed, or needs-review, and especially anything touching the documented coverage gaps above — is treated as a prioritised worklist for a human reviewer, not as a final determination. Any deployment that presents this system's score as a compliance certification, in place of legal review, would be a misuse of what it was built and validated to do, and we say so here explicitly to avoid that outcome.</w:t>
      </w:r>
    </w:p>
    <w:p>
      <w:r>
        <w:br w:type="page"/>
      </w:r>
    </w:p>
    <w:p>
      <w:pPr>
        <w:pStyle w:val="Heading1"/>
        <w:spacing w:after="200" w:before="400"/>
      </w:pPr>
      <w:r>
        <w:rPr>
          <w:rFonts w:ascii="Calibri" w:cs="Calibri" w:eastAsia="Calibri" w:hAnsi="Calibri"/>
          <w:b/>
          <w:bCs/>
          <w:color w:val="1F3864"/>
          <w:sz w:val="30"/>
          <w:szCs w:val="30"/>
        </w:rPr>
        <w:t xml:space="preserve">7. Conclusion and Future Directions</w:t>
      </w:r>
    </w:p>
    <w:p>
      <w:pPr>
        <w:spacing w:after="160" w:line="276"/>
        <w:jc w:val="both"/>
      </w:pPr>
      <w:r>
        <w:rPr>
          <w:rFonts w:ascii="Calibri" w:cs="Calibri" w:eastAsia="Calibri" w:hAnsi="Calibri"/>
          <w:b w:val="false"/>
          <w:bCs w:val="false"/>
          <w:i w:val="false"/>
          <w:iCs w:val="false"/>
          <w:sz w:val="22"/>
          <w:szCs w:val="22"/>
        </w:rPr>
        <w:t xml:space="preserve">We have described a research prototype for automated GDPR privacy-policy compliance assessment built around a specific, defensible design choice: ground every judgment in retrieved, citable statutory and regulatory-guidance text, and produce that judgment with an open, fine-tuned model that can be inspected, re-run, and audited, rather than a closed commercial API. Weighed against the academic and commercial state of the art surveyed in Section 2, we believe the combination of open weights, live article-level RAG grounding, and a published, editable scoring methodology is a combination no reviewed prior system offers in full, while being explicit that each element exists individually elsewhere, and that the strongest nearby academic system (Xie et al., USENIX Security 2025) should be checked against its full artifact before any stronger claim is made.</w:t>
      </w:r>
    </w:p>
    <w:p>
      <w:pPr>
        <w:spacing w:after="160" w:line="276"/>
        <w:jc w:val="both"/>
      </w:pPr>
      <w:r>
        <w:rPr>
          <w:rFonts w:ascii="Calibri" w:cs="Calibri" w:eastAsia="Calibri" w:hAnsi="Calibri"/>
          <w:b w:val="false"/>
          <w:bCs w:val="false"/>
          <w:i w:val="false"/>
          <w:iCs w:val="false"/>
          <w:sz w:val="22"/>
          <w:szCs w:val="22"/>
        </w:rPr>
        <w:t xml:space="preserve">We have tried throughout this paper to keep the confidence of our claims matched to what has actually been measured. Retrieval quality has been evaluated directly, on a hand-labeled benchmark, and the resulting hybrid-plus-rerank configuration is an evidence-based choice, not a default assumption — including the uncomfortable parts of that evidence, such as thirteen benchmark clauses no configuration retrieves correctly and a held-out check whose gain was smaller than the training-split numbers suggested. Judge accuracy at the target model scale has not yet been reported here, by design: the checkpoint exercised so far validates the pipeline, not the judge's ceiling, and we would rather say that plainly than let a reader infer more than the evidence supports.</w:t>
      </w:r>
    </w:p>
    <w:p>
      <w:pPr>
        <w:spacing w:after="160" w:line="276"/>
        <w:jc w:val="both"/>
      </w:pPr>
      <w:r>
        <w:rPr>
          <w:rFonts w:ascii="Calibri" w:cs="Calibri" w:eastAsia="Calibri" w:hAnsi="Calibri"/>
          <w:b w:val="false"/>
          <w:bCs w:val="false"/>
          <w:i w:val="false"/>
          <w:iCs w:val="false"/>
          <w:sz w:val="22"/>
          <w:szCs w:val="22"/>
        </w:rPr>
        <w:t xml:space="preserve">The most immediate next steps follow directly from the gaps named in Section 6: a hand-labeled, article-level judge-verdict evaluation set — built with the same discipline as the retrieval benchmark — to measure judgment accuracy directly rather than only retrieval recall; targeted new annotation to close the specific OPP-115 schema gaps (legal basis granularity, DPIA, Article 22 automated decision-making, DPO designation, and cross-border transfer mechanism, among others); completion of training and evaluation at the target 7B judge scale, with full metrics reported in the technical report; domain-tuned embeddings aimed specifically at the persistent hard-paraphrase retrieval misses; a substantially larger held-out set to put architecture comparisons on firmer statistical footing; and extension beyond English-language, US-centric policy data. Longer term, we see value in a direct, artifact-level comparison against the closest prior systems identified in Section 2, once their full texts and any released artifacts have been reviewed in depth.</w:t>
      </w:r>
    </w:p>
    <w:p>
      <w:pPr>
        <w:spacing w:after="160" w:line="276"/>
        <w:jc w:val="both"/>
      </w:pPr>
      <w:r>
        <w:rPr>
          <w:rFonts w:ascii="Calibri" w:cs="Calibri" w:eastAsia="Calibri" w:hAnsi="Calibri"/>
          <w:b w:val="false"/>
          <w:bCs w:val="false"/>
          <w:i w:val="false"/>
          <w:iCs w:val="false"/>
          <w:sz w:val="22"/>
          <w:szCs w:val="22"/>
        </w:rPr>
        <w:t xml:space="preserve">None of this changes the paper's central claim, which we restate as our closing position: automated compliance assessment is worth building because manual review cannot keep pace with how many policies exist and how often they change, but it is only worth deploying, even as decision support, if it can be checked — article by article, retrieval by retrieval, weight by weight — by the people who have to answer for its output. That is the standard this prototype was built against, and the standard against which its future versions should continue to be judged.</w:t>
      </w:r>
    </w:p>
    <w:p>
      <w:r>
        <w:br w:type="page"/>
      </w:r>
    </w:p>
    <w:p>
      <w:pPr>
        <w:pStyle w:val="Heading1"/>
        <w:spacing w:after="200" w:before="400"/>
      </w:pPr>
      <w:r>
        <w:rPr>
          <w:rFonts w:ascii="Calibri" w:cs="Calibri" w:eastAsia="Calibri" w:hAnsi="Calibri"/>
          <w:b/>
          <w:bCs/>
          <w:color w:val="1F3864"/>
          <w:sz w:val="30"/>
          <w:szCs w:val="30"/>
        </w:rPr>
        <w:t xml:space="preserve">References</w:t>
      </w:r>
    </w:p>
    <w:p>
      <w:pPr>
        <w:spacing w:after="140" w:line="264"/>
        <w:ind w:left="420" w:hanging="420"/>
      </w:pPr>
      <w:r>
        <w:rPr>
          <w:rFonts w:ascii="Calibri" w:cs="Calibri" w:eastAsia="Calibri" w:hAnsi="Calibri"/>
          <w:b/>
          <w:bCs/>
          <w:sz w:val="19"/>
          <w:szCs w:val="19"/>
        </w:rPr>
        <w:t xml:space="preserve">[1]  </w:t>
      </w:r>
      <w:r>
        <w:rPr>
          <w:rFonts w:ascii="Calibri" w:cs="Calibri" w:eastAsia="Calibri" w:hAnsi="Calibri"/>
          <w:sz w:val="19"/>
          <w:szCs w:val="19"/>
        </w:rPr>
        <w:t xml:space="preserve">Harkous, H. et al. (2018). Polisis: Automated Analysis and Presentation of Privacy Policies Using Deep Learning. USENIX Security 2018. arXiv:1802.02561.</w:t>
      </w:r>
    </w:p>
    <w:p>
      <w:pPr>
        <w:spacing w:after="140" w:line="264"/>
        <w:ind w:left="420" w:hanging="420"/>
      </w:pPr>
      <w:r>
        <w:rPr>
          <w:rFonts w:ascii="Calibri" w:cs="Calibri" w:eastAsia="Calibri" w:hAnsi="Calibri"/>
          <w:b/>
          <w:bCs/>
          <w:sz w:val="19"/>
          <w:szCs w:val="19"/>
        </w:rPr>
        <w:t xml:space="preserve">[2]  </w:t>
      </w:r>
      <w:r>
        <w:rPr>
          <w:rFonts w:ascii="Calibri" w:cs="Calibri" w:eastAsia="Calibri" w:hAnsi="Calibri"/>
          <w:sz w:val="19"/>
          <w:szCs w:val="19"/>
        </w:rPr>
        <w:t xml:space="preserve">Andow, B. et al. (2019). PolicyLint: Investigating Internal Privacy Policy Contradictions on Google Play. USENIX Security 2019.</w:t>
      </w:r>
    </w:p>
    <w:p>
      <w:pPr>
        <w:spacing w:after="140" w:line="264"/>
        <w:ind w:left="420" w:hanging="420"/>
      </w:pPr>
      <w:r>
        <w:rPr>
          <w:rFonts w:ascii="Calibri" w:cs="Calibri" w:eastAsia="Calibri" w:hAnsi="Calibri"/>
          <w:b/>
          <w:bCs/>
          <w:sz w:val="19"/>
          <w:szCs w:val="19"/>
        </w:rPr>
        <w:t xml:space="preserve">[3]  </w:t>
      </w:r>
      <w:r>
        <w:rPr>
          <w:rFonts w:ascii="Calibri" w:cs="Calibri" w:eastAsia="Calibri" w:hAnsi="Calibri"/>
          <w:sz w:val="19"/>
          <w:szCs w:val="19"/>
        </w:rPr>
        <w:t xml:space="preserve">Lippi, M., Contissa, G., Lagioia, F., Micklitz, H.-W., Pałka, P., Sartor, G., &amp; Torroni, P. (2019). CLAUDETTE: An Automated Detector of Potentially Unfair Clauses in Online Terms of Service. Artificial Intelligence and Law, Springer.</w:t>
      </w:r>
    </w:p>
    <w:p>
      <w:pPr>
        <w:spacing w:after="140" w:line="264"/>
        <w:ind w:left="420" w:hanging="420"/>
      </w:pPr>
      <w:r>
        <w:rPr>
          <w:rFonts w:ascii="Calibri" w:cs="Calibri" w:eastAsia="Calibri" w:hAnsi="Calibri"/>
          <w:b/>
          <w:bCs/>
          <w:sz w:val="19"/>
          <w:szCs w:val="19"/>
        </w:rPr>
        <w:t xml:space="preserve">[4]  </w:t>
      </w:r>
      <w:r>
        <w:rPr>
          <w:rFonts w:ascii="Calibri" w:cs="Calibri" w:eastAsia="Calibri" w:hAnsi="Calibri"/>
          <w:sz w:val="19"/>
          <w:szCs w:val="19"/>
        </w:rPr>
        <w:t xml:space="preserve">PolicyGPT: Large Language Models for Privacy Policy Analysis (2023). arXiv:2309.10238.</w:t>
      </w:r>
    </w:p>
    <w:p>
      <w:pPr>
        <w:spacing w:after="140" w:line="264"/>
        <w:ind w:left="420" w:hanging="420"/>
      </w:pPr>
      <w:r>
        <w:rPr>
          <w:rFonts w:ascii="Calibri" w:cs="Calibri" w:eastAsia="Calibri" w:hAnsi="Calibri"/>
          <w:b/>
          <w:bCs/>
          <w:sz w:val="19"/>
          <w:szCs w:val="19"/>
        </w:rPr>
        <w:t xml:space="preserve">[5]  </w:t>
      </w:r>
      <w:r>
        <w:rPr>
          <w:rFonts w:ascii="Calibri" w:cs="Calibri" w:eastAsia="Calibri" w:hAnsi="Calibri"/>
          <w:sz w:val="19"/>
          <w:szCs w:val="19"/>
        </w:rPr>
        <w:t xml:space="preserve">Word-level GDPR Transparency Annotation with Large Language Models (2025). arXiv:2503.10727.</w:t>
      </w:r>
    </w:p>
    <w:p>
      <w:pPr>
        <w:spacing w:after="140" w:line="264"/>
        <w:ind w:left="420" w:hanging="420"/>
      </w:pPr>
      <w:r>
        <w:rPr>
          <w:rFonts w:ascii="Calibri" w:cs="Calibri" w:eastAsia="Calibri" w:hAnsi="Calibri"/>
          <w:b/>
          <w:bCs/>
          <w:sz w:val="19"/>
          <w:szCs w:val="19"/>
        </w:rPr>
        <w:t xml:space="preserve">[6]  </w:t>
      </w:r>
      <w:r>
        <w:rPr>
          <w:rFonts w:ascii="Calibri" w:cs="Calibri" w:eastAsia="Calibri" w:hAnsi="Calibri"/>
          <w:sz w:val="19"/>
          <w:szCs w:val="19"/>
        </w:rPr>
        <w:t xml:space="preserve">Xie, S., Ramakrishnan, S. et al. (2025). Evaluating Privacy Policies under Modern Privacy Laws at Scale: An LLM-Based Automated Approach. USENIX Security 2025.</w:t>
      </w:r>
    </w:p>
    <w:p>
      <w:pPr>
        <w:spacing w:after="140" w:line="264"/>
        <w:ind w:left="420" w:hanging="420"/>
      </w:pPr>
      <w:r>
        <w:rPr>
          <w:rFonts w:ascii="Calibri" w:cs="Calibri" w:eastAsia="Calibri" w:hAnsi="Calibri"/>
          <w:b/>
          <w:bCs/>
          <w:sz w:val="19"/>
          <w:szCs w:val="19"/>
        </w:rPr>
        <w:t xml:space="preserve">[7]  </w:t>
      </w:r>
      <w:r>
        <w:rPr>
          <w:rFonts w:ascii="Calibri" w:cs="Calibri" w:eastAsia="Calibri" w:hAnsi="Calibri"/>
          <w:sz w:val="19"/>
          <w:szCs w:val="19"/>
        </w:rPr>
        <w:t xml:space="preserve">RegCheck: LLM-Driven GDPR Compliance Checking for Android Apps (2025). FSE 2025.</w:t>
      </w:r>
    </w:p>
    <w:p>
      <w:pPr>
        <w:spacing w:after="140" w:line="264"/>
        <w:ind w:left="420" w:hanging="420"/>
      </w:pPr>
      <w:r>
        <w:rPr>
          <w:rFonts w:ascii="Calibri" w:cs="Calibri" w:eastAsia="Calibri" w:hAnsi="Calibri"/>
          <w:b/>
          <w:bCs/>
          <w:sz w:val="19"/>
          <w:szCs w:val="19"/>
        </w:rPr>
        <w:t xml:space="preserve">[8]  </w:t>
      </w:r>
      <w:r>
        <w:rPr>
          <w:rFonts w:ascii="Calibri" w:cs="Calibri" w:eastAsia="Calibri" w:hAnsi="Calibri"/>
          <w:sz w:val="19"/>
          <w:szCs w:val="19"/>
        </w:rPr>
        <w:t xml:space="preserve">Wilson, S. et al. (2016). The Creation and Analysis of a Website Privacy Policy Corpus (OPP-115). ACL 2016.</w:t>
      </w:r>
    </w:p>
    <w:p>
      <w:pPr>
        <w:spacing w:after="140" w:line="264"/>
        <w:ind w:left="420" w:hanging="420"/>
      </w:pPr>
      <w:r>
        <w:rPr>
          <w:rFonts w:ascii="Calibri" w:cs="Calibri" w:eastAsia="Calibri" w:hAnsi="Calibri"/>
          <w:b/>
          <w:bCs/>
          <w:sz w:val="19"/>
          <w:szCs w:val="19"/>
        </w:rPr>
        <w:t xml:space="preserve">[9]  </w:t>
      </w:r>
      <w:r>
        <w:rPr>
          <w:rFonts w:ascii="Calibri" w:cs="Calibri" w:eastAsia="Calibri" w:hAnsi="Calibri"/>
          <w:sz w:val="19"/>
          <w:szCs w:val="19"/>
        </w:rPr>
        <w:t xml:space="preserve">Mapping the GDPR to a Privacy Policy Corpus Annotation Scheme. NSF PAR.</w:t>
      </w:r>
    </w:p>
    <w:p>
      <w:pPr>
        <w:spacing w:after="140" w:line="264"/>
        <w:ind w:left="420" w:hanging="420"/>
      </w:pPr>
      <w:r>
        <w:rPr>
          <w:rFonts w:ascii="Calibri" w:cs="Calibri" w:eastAsia="Calibri" w:hAnsi="Calibri"/>
          <w:b/>
          <w:bCs/>
          <w:sz w:val="19"/>
          <w:szCs w:val="19"/>
        </w:rPr>
        <w:t xml:space="preserve">[10]  </w:t>
      </w:r>
      <w:r>
        <w:rPr>
          <w:rFonts w:ascii="Calibri" w:cs="Calibri" w:eastAsia="Calibri" w:hAnsi="Calibri"/>
          <w:sz w:val="19"/>
          <w:szCs w:val="19"/>
        </w:rPr>
        <w:t xml:space="preserve">Zimmeck, S. et al. (2019). MAPS: Scaling Privacy Compliance Analysis to a Million Apps (APP-350). PoPETs 2019.</w:t>
      </w:r>
    </w:p>
    <w:p>
      <w:pPr>
        <w:spacing w:after="140" w:line="264"/>
        <w:ind w:left="420" w:hanging="420"/>
      </w:pPr>
      <w:r>
        <w:rPr>
          <w:rFonts w:ascii="Calibri" w:cs="Calibri" w:eastAsia="Calibri" w:hAnsi="Calibri"/>
          <w:b/>
          <w:bCs/>
          <w:sz w:val="19"/>
          <w:szCs w:val="19"/>
        </w:rPr>
        <w:t xml:space="preserve">[11]  </w:t>
      </w:r>
      <w:r>
        <w:rPr>
          <w:rFonts w:ascii="Calibri" w:cs="Calibri" w:eastAsia="Calibri" w:hAnsi="Calibri"/>
          <w:sz w:val="19"/>
          <w:szCs w:val="19"/>
        </w:rPr>
        <w:t xml:space="preserve">Srinath, M., Wilson, S., &amp; Giles, C. L. (2021). PrivaSeer: A Privacy Policy Search Engine. ACL 2021.</w:t>
      </w:r>
    </w:p>
    <w:p>
      <w:pPr>
        <w:spacing w:after="140" w:line="264"/>
        <w:ind w:left="420" w:hanging="420"/>
      </w:pPr>
      <w:r>
        <w:rPr>
          <w:rFonts w:ascii="Calibri" w:cs="Calibri" w:eastAsia="Calibri" w:hAnsi="Calibri"/>
          <w:b/>
          <w:bCs/>
          <w:sz w:val="19"/>
          <w:szCs w:val="19"/>
        </w:rPr>
        <w:t xml:space="preserve">[12]  </w:t>
      </w:r>
      <w:r>
        <w:rPr>
          <w:rFonts w:ascii="Calibri" w:cs="Calibri" w:eastAsia="Calibri" w:hAnsi="Calibri"/>
          <w:sz w:val="19"/>
          <w:szCs w:val="19"/>
        </w:rPr>
        <w:t xml:space="preserve">Ahmad, W. et al. (2021). Intent Classification and Slot Filling for Privacy Policies (PolicyIE). ACL 2021.</w:t>
      </w:r>
    </w:p>
    <w:p>
      <w:pPr>
        <w:spacing w:after="140" w:line="264"/>
        <w:ind w:left="420" w:hanging="420"/>
      </w:pPr>
      <w:r>
        <w:rPr>
          <w:rFonts w:ascii="Calibri" w:cs="Calibri" w:eastAsia="Calibri" w:hAnsi="Calibri"/>
          <w:b/>
          <w:bCs/>
          <w:sz w:val="19"/>
          <w:szCs w:val="19"/>
        </w:rPr>
        <w:t xml:space="preserve">[13]  </w:t>
      </w:r>
      <w:r>
        <w:rPr>
          <w:rFonts w:ascii="Calibri" w:cs="Calibri" w:eastAsia="Calibri" w:hAnsi="Calibri"/>
          <w:sz w:val="19"/>
          <w:szCs w:val="19"/>
        </w:rPr>
        <w:t xml:space="preserve">OneTrust. AI Privacy Automation and Privacy Automation product documentation. onetrust.com.</w:t>
      </w:r>
    </w:p>
    <w:p>
      <w:pPr>
        <w:spacing w:after="140" w:line="264"/>
        <w:ind w:left="420" w:hanging="420"/>
      </w:pPr>
      <w:r>
        <w:rPr>
          <w:rFonts w:ascii="Calibri" w:cs="Calibri" w:eastAsia="Calibri" w:hAnsi="Calibri"/>
          <w:b/>
          <w:bCs/>
          <w:sz w:val="19"/>
          <w:szCs w:val="19"/>
        </w:rPr>
        <w:t xml:space="preserve">[14]  </w:t>
      </w:r>
      <w:r>
        <w:rPr>
          <w:rFonts w:ascii="Calibri" w:cs="Calibri" w:eastAsia="Calibri" w:hAnsi="Calibri"/>
          <w:sz w:val="19"/>
          <w:szCs w:val="19"/>
        </w:rPr>
        <w:t xml:space="preserve">TrustArc. Intelligent GDPR Assessments and Assessment Manager product documentation. trustarc.com.</w:t>
      </w:r>
    </w:p>
    <w:p>
      <w:pPr>
        <w:spacing w:after="140" w:line="264"/>
        <w:ind w:left="420" w:hanging="420"/>
      </w:pPr>
      <w:r>
        <w:rPr>
          <w:rFonts w:ascii="Calibri" w:cs="Calibri" w:eastAsia="Calibri" w:hAnsi="Calibri"/>
          <w:b/>
          <w:bCs/>
          <w:sz w:val="19"/>
          <w:szCs w:val="19"/>
        </w:rPr>
        <w:t xml:space="preserve">[15]  </w:t>
      </w:r>
      <w:r>
        <w:rPr>
          <w:rFonts w:ascii="Calibri" w:cs="Calibri" w:eastAsia="Calibri" w:hAnsi="Calibri"/>
          <w:sz w:val="19"/>
          <w:szCs w:val="19"/>
        </w:rPr>
        <w:t xml:space="preserve">Osano. Compliance Check product documentation. osano.com.</w:t>
      </w:r>
    </w:p>
    <w:p>
      <w:pPr>
        <w:spacing w:after="140" w:line="264"/>
        <w:ind w:left="420" w:hanging="420"/>
      </w:pPr>
      <w:r>
        <w:rPr>
          <w:rFonts w:ascii="Calibri" w:cs="Calibri" w:eastAsia="Calibri" w:hAnsi="Calibri"/>
          <w:b/>
          <w:bCs/>
          <w:sz w:val="19"/>
          <w:szCs w:val="19"/>
        </w:rPr>
        <w:t xml:space="preserve">[16]  </w:t>
      </w:r>
      <w:r>
        <w:rPr>
          <w:rFonts w:ascii="Calibri" w:cs="Calibri" w:eastAsia="Calibri" w:hAnsi="Calibri"/>
          <w:sz w:val="19"/>
          <w:szCs w:val="19"/>
        </w:rPr>
        <w:t xml:space="preserve">Termly and iubenda. Privacy and cookie policy generator product documentation. termly.io, iubenda.com.</w:t>
      </w:r>
    </w:p>
    <w:p>
      <w:pPr>
        <w:spacing w:after="160" w:line="276"/>
        <w:jc w:val="both"/>
      </w:pPr>
      <w:r>
        <w:rPr>
          <w:rFonts w:ascii="Calibri" w:cs="Calibri" w:eastAsia="Calibri" w:hAnsi="Calibri"/>
          <w:b w:val="false"/>
          <w:bCs w:val="false"/>
          <w:i/>
          <w:iCs/>
          <w:sz w:val="22"/>
          <w:szCs w:val="22"/>
        </w:rPr>
        <w:t xml:space="preserve">A full literature and market review, including source URLs and a detailed comparison table, is available in this project's companion state-of-the-art review (reports/sota_review.md); full quantitative results are available in this project's companion technical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888888"/>
        <w:sz w:val="16"/>
        <w:szCs w:val="16"/>
      </w:rPr>
      <w:t xml:space="preserve">Grounded and Open — GDPR Compliance Assessment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Grounded and Open: A Transparent, RAG-Grounded Open-Weight Judge for Automated GDPR Privacy Policy Compliance Assessment</dc:title>
  <dc:creator>Vanshika Sapra</dc:creator>
  <dc:description>White paper on a RAG-grounded, open-weight LLM judge for GDPR privacy policy compliance assessment.</dc:description>
  <cp:lastModifiedBy>Un-named</cp:lastModifiedBy>
  <cp:revision>1</cp:revision>
  <dcterms:created xsi:type="dcterms:W3CDTF">2026-08-28T01:17:50.989Z</dcterms:created>
  <dcterms:modified xsi:type="dcterms:W3CDTF">2026-08-28T01:17:50.989Z</dcterms:modified>
</cp:coreProperties>
</file>

<file path=docProps/custom.xml><?xml version="1.0" encoding="utf-8"?>
<Properties xmlns="http://schemas.openxmlformats.org/officeDocument/2006/custom-properties" xmlns:vt="http://schemas.openxmlformats.org/officeDocument/2006/docPropsVTypes"/>
</file>