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F96E" w14:textId="77777777" w:rsidR="00C746E5" w:rsidRDefault="00000000">
      <w:pPr>
        <w:spacing w:after="201" w:line="259" w:lineRule="auto"/>
        <w:ind w:left="0" w:right="43" w:firstLine="0"/>
        <w:jc w:val="center"/>
      </w:pPr>
      <w:r>
        <w:rPr>
          <w:b/>
          <w:color w:val="3C4043"/>
        </w:rPr>
        <w:t>V</w:t>
      </w:r>
      <w:r>
        <w:rPr>
          <w:b/>
          <w:color w:val="3C4043"/>
          <w:sz w:val="36"/>
        </w:rPr>
        <w:t xml:space="preserve">ídeos de jogos de videogame </w:t>
      </w:r>
    </w:p>
    <w:p w14:paraId="483FDDAF" w14:textId="77777777" w:rsidR="00C746E5" w:rsidRDefault="00000000">
      <w:pPr>
        <w:spacing w:after="197"/>
        <w:ind w:left="-5"/>
      </w:pPr>
      <w:r>
        <w:t xml:space="preserve">Este relatório apresenta uma análise visual e exploratória dos dados de vendas de jogos eletrônicos entre os anos de 1980 e 2016. O objetivo é compreender os padrões de vendas, a popularidade dos consoles, a frequência anual de lançamentos e o desempenho dos jogos por gênero. A </w:t>
      </w:r>
    </w:p>
    <w:p w14:paraId="55284B8E" w14:textId="77777777" w:rsidR="00C746E5" w:rsidRDefault="00000000">
      <w:pPr>
        <w:spacing w:after="197"/>
        <w:ind w:left="-5"/>
      </w:pPr>
      <w:r>
        <w:t xml:space="preserve">análise é baseada em gráficos gerados com Python, utilizando bibliotecas como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e </w:t>
      </w:r>
      <w:proofErr w:type="spellStart"/>
      <w:r>
        <w:t>Plotly</w:t>
      </w:r>
      <w:proofErr w:type="spellEnd"/>
      <w:r>
        <w:t>.</w:t>
      </w:r>
      <w:r>
        <w:rPr>
          <w:sz w:val="24"/>
        </w:rPr>
        <w:t xml:space="preserve"> </w:t>
      </w:r>
    </w:p>
    <w:p w14:paraId="05E75D48" w14:textId="77777777" w:rsidR="00C746E5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14:paraId="17F24CB4" w14:textId="77777777" w:rsidR="00C746E5" w:rsidRDefault="00000000">
      <w:pPr>
        <w:spacing w:after="301" w:line="259" w:lineRule="auto"/>
        <w:ind w:left="-5"/>
      </w:pPr>
      <w:r>
        <w:rPr>
          <w:sz w:val="24"/>
        </w:rPr>
        <w:t xml:space="preserve">1. Jogos Mais Vendidos </w:t>
      </w:r>
    </w:p>
    <w:p w14:paraId="45755C0C" w14:textId="77777777" w:rsidR="00C746E5" w:rsidRDefault="00000000">
      <w:pPr>
        <w:ind w:left="-5"/>
      </w:pPr>
      <w:r>
        <w:t>O primeiro gráfico apresenta os dez jogos mais vendidos, ordenados pelo total de vendas em milhões. O gráfico de barras horizontal facilita a visualização e comparação entre os títulos.</w:t>
      </w:r>
      <w:r>
        <w:rPr>
          <w:b/>
        </w:rPr>
        <w:t xml:space="preserve"> </w:t>
      </w:r>
    </w:p>
    <w:p w14:paraId="42591D37" w14:textId="77777777" w:rsidR="00C746E5" w:rsidRDefault="00000000">
      <w:pPr>
        <w:ind w:left="-5"/>
      </w:pPr>
      <w:r>
        <w:t xml:space="preserve">Identificamos quais jogos tiveram maior impacto no mercado, ajudando a entender as preferências do público. </w:t>
      </w:r>
    </w:p>
    <w:p w14:paraId="6FC28D30" w14:textId="77777777" w:rsidR="00C746E5" w:rsidRDefault="00000000">
      <w:pPr>
        <w:spacing w:after="0"/>
        <w:ind w:left="-5"/>
      </w:pPr>
      <w:r>
        <w:t>Jogos icônicos ou de franquias populares normalmente aparecem no topo da lista, refletindo o sucesso comercial e a aceitação.</w:t>
      </w:r>
      <w:r>
        <w:rPr>
          <w:sz w:val="24"/>
        </w:rPr>
        <w:t xml:space="preserve"> </w:t>
      </w:r>
    </w:p>
    <w:p w14:paraId="15AF4BD9" w14:textId="77777777" w:rsidR="00C746E5" w:rsidRDefault="00000000">
      <w:pPr>
        <w:spacing w:after="0" w:line="259" w:lineRule="auto"/>
        <w:ind w:left="0" w:firstLine="0"/>
      </w:pPr>
      <w:r>
        <w:t xml:space="preserve"> </w:t>
      </w:r>
    </w:p>
    <w:p w14:paraId="00FD7C68" w14:textId="77777777" w:rsidR="00C746E5" w:rsidRDefault="00000000">
      <w:pPr>
        <w:spacing w:after="19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CB93F77" wp14:editId="79C49E0F">
            <wp:extent cx="5724525" cy="276225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79A5A94" w14:textId="77777777" w:rsidR="00C746E5" w:rsidRDefault="00000000">
      <w:pPr>
        <w:spacing w:after="189" w:line="259" w:lineRule="auto"/>
        <w:ind w:left="0" w:firstLine="0"/>
      </w:pPr>
      <w:r>
        <w:rPr>
          <w:sz w:val="24"/>
        </w:rPr>
        <w:t xml:space="preserve"> </w:t>
      </w:r>
    </w:p>
    <w:p w14:paraId="1791AD78" w14:textId="77777777" w:rsidR="00C746E5" w:rsidRDefault="00000000">
      <w:pPr>
        <w:numPr>
          <w:ilvl w:val="0"/>
          <w:numId w:val="1"/>
        </w:numPr>
        <w:spacing w:after="301" w:line="259" w:lineRule="auto"/>
        <w:ind w:hanging="249"/>
      </w:pPr>
      <w:r>
        <w:rPr>
          <w:sz w:val="24"/>
        </w:rPr>
        <w:t xml:space="preserve">Consoles com Mais Lançamentos </w:t>
      </w:r>
    </w:p>
    <w:p w14:paraId="4AB8A16F" w14:textId="77777777" w:rsidR="00C746E5" w:rsidRDefault="00000000">
      <w:pPr>
        <w:ind w:left="-5"/>
      </w:pPr>
      <w:r>
        <w:lastRenderedPageBreak/>
        <w:t>Este gráfico de barras mostra os consoles com maior número de lançamentos. A contagem dos jogos por console permite avaliar o suporte de desenvolvedores e o volume de oferta para os consumidores.</w:t>
      </w:r>
      <w:r>
        <w:rPr>
          <w:b/>
        </w:rPr>
        <w:t xml:space="preserve"> </w:t>
      </w:r>
    </w:p>
    <w:p w14:paraId="2815F070" w14:textId="77777777" w:rsidR="00C746E5" w:rsidRDefault="00000000">
      <w:pPr>
        <w:ind w:left="-5"/>
      </w:pPr>
      <w:r>
        <w:t xml:space="preserve">Consoles com maior número de lançamentos indicam uma base sólida de jogos, o que pode influenciar a popularidade da plataforma. </w:t>
      </w:r>
    </w:p>
    <w:p w14:paraId="6CB5B108" w14:textId="77777777" w:rsidR="00C746E5" w:rsidRDefault="00000000">
      <w:pPr>
        <w:spacing w:after="2"/>
        <w:ind w:left="-5"/>
      </w:pPr>
      <w:r>
        <w:t>Observa-se uma concentração dos lançamentos em poucos consoles líderes, refletindo a competição do mercado.</w:t>
      </w:r>
      <w:r>
        <w:rPr>
          <w:sz w:val="24"/>
        </w:rPr>
        <w:t xml:space="preserve"> </w:t>
      </w:r>
    </w:p>
    <w:p w14:paraId="11557087" w14:textId="77777777" w:rsidR="00C746E5" w:rsidRDefault="00000000">
      <w:pPr>
        <w:spacing w:after="0" w:line="259" w:lineRule="auto"/>
        <w:ind w:left="0" w:firstLine="0"/>
      </w:pPr>
      <w:r>
        <w:t xml:space="preserve"> </w:t>
      </w:r>
    </w:p>
    <w:p w14:paraId="15CA9ED2" w14:textId="77777777" w:rsidR="00C746E5" w:rsidRDefault="00000000">
      <w:pPr>
        <w:spacing w:after="19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6F09087" wp14:editId="55E52DE2">
            <wp:extent cx="5724525" cy="2781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93BA579" w14:textId="77777777" w:rsidR="00C746E5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14:paraId="2047DBDD" w14:textId="77777777" w:rsidR="00C746E5" w:rsidRDefault="00000000">
      <w:pPr>
        <w:numPr>
          <w:ilvl w:val="0"/>
          <w:numId w:val="1"/>
        </w:numPr>
        <w:spacing w:after="301" w:line="259" w:lineRule="auto"/>
        <w:ind w:hanging="249"/>
      </w:pPr>
      <w:r>
        <w:rPr>
          <w:sz w:val="24"/>
        </w:rPr>
        <w:t xml:space="preserve">Frequência Anual de Lançamentos </w:t>
      </w:r>
    </w:p>
    <w:p w14:paraId="7FCA7D01" w14:textId="77777777" w:rsidR="00C746E5" w:rsidRDefault="00000000">
      <w:pPr>
        <w:ind w:left="-5"/>
      </w:pPr>
      <w:r>
        <w:t>O histograma com linha KDE mostra a distribuição dos lançamentos de jogos ao longo dos anos. Isso permite identificar picos e períodos de maior ou menor atividade no mercado.</w:t>
      </w:r>
      <w:r>
        <w:rPr>
          <w:b/>
        </w:rPr>
        <w:t xml:space="preserve"> </w:t>
      </w:r>
    </w:p>
    <w:p w14:paraId="162A99C2" w14:textId="77777777" w:rsidR="00C746E5" w:rsidRDefault="00000000">
      <w:pPr>
        <w:ind w:left="-5"/>
      </w:pPr>
      <w:r>
        <w:t xml:space="preserve">Picos de lançamentos podem estar relacionados a novas gerações de consoles ou eventos especiais na indústria. </w:t>
      </w:r>
    </w:p>
    <w:p w14:paraId="7B596DD5" w14:textId="77777777" w:rsidR="00C746E5" w:rsidRDefault="00000000">
      <w:pPr>
        <w:ind w:left="-5"/>
      </w:pPr>
      <w:r>
        <w:t xml:space="preserve">Tendências de crescimento ou declínio nas ofertas anuais ajudam a entender o dinamismo do mercado. </w:t>
      </w:r>
    </w:p>
    <w:p w14:paraId="30D773B9" w14:textId="77777777" w:rsidR="00C746E5" w:rsidRDefault="00000000">
      <w:pPr>
        <w:spacing w:after="199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41E22B3" wp14:editId="23260093">
            <wp:extent cx="5724525" cy="280987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47F570C" w14:textId="77777777" w:rsidR="00C746E5" w:rsidRDefault="00000000">
      <w:pPr>
        <w:spacing w:after="294" w:line="259" w:lineRule="auto"/>
        <w:ind w:left="0" w:firstLine="0"/>
      </w:pPr>
      <w:r>
        <w:rPr>
          <w:sz w:val="24"/>
        </w:rPr>
        <w:t xml:space="preserve"> </w:t>
      </w:r>
    </w:p>
    <w:p w14:paraId="343B5535" w14:textId="77777777" w:rsidR="00C746E5" w:rsidRDefault="00000000">
      <w:pPr>
        <w:spacing w:after="179" w:line="259" w:lineRule="auto"/>
        <w:ind w:left="-5"/>
      </w:pPr>
      <w:r>
        <w:rPr>
          <w:sz w:val="24"/>
        </w:rPr>
        <w:t>4. Pirâmide de Vendas por Gênero</w:t>
      </w:r>
      <w:r>
        <w:rPr>
          <w:b/>
          <w:sz w:val="36"/>
        </w:rPr>
        <w:t xml:space="preserve"> </w:t>
      </w:r>
    </w:p>
    <w:p w14:paraId="634090AB" w14:textId="77777777" w:rsidR="00C746E5" w:rsidRDefault="00000000">
      <w:pPr>
        <w:ind w:left="-5"/>
      </w:pPr>
      <w:r>
        <w:t xml:space="preserve">O funil gerado com </w:t>
      </w:r>
      <w:proofErr w:type="spellStart"/>
      <w:r>
        <w:t>Plotly</w:t>
      </w:r>
      <w:proofErr w:type="spellEnd"/>
      <w:r>
        <w:t xml:space="preserve"> mostra as vendas totais agrupadas por gênero de jogo, destacando os estilos mais consumidos. A visualização em funil ajuda a entender a fatia de mercado de cada gênero. </w:t>
      </w:r>
    </w:p>
    <w:p w14:paraId="3EFAD5B9" w14:textId="77777777" w:rsidR="00C746E5" w:rsidRDefault="00000000">
      <w:pPr>
        <w:ind w:left="-5"/>
      </w:pPr>
      <w:r>
        <w:t xml:space="preserve">Gêneros com maiores vendas indicam as preferências dominantes dos jogadores e tendências de mercado. </w:t>
      </w:r>
    </w:p>
    <w:p w14:paraId="37E5FFBC" w14:textId="77777777" w:rsidR="00C746E5" w:rsidRDefault="00000000">
      <w:pPr>
        <w:spacing w:after="194"/>
        <w:ind w:left="-5"/>
      </w:pPr>
      <w:r>
        <w:t xml:space="preserve">Essa análise é útil para desenvolvedores e publicadoras definirem estratégias focadas. </w:t>
      </w:r>
    </w:p>
    <w:p w14:paraId="0D90ADDC" w14:textId="77777777" w:rsidR="00C746E5" w:rsidRDefault="00000000">
      <w:pPr>
        <w:spacing w:after="173" w:line="259" w:lineRule="auto"/>
        <w:ind w:left="-1" w:firstLine="0"/>
        <w:jc w:val="right"/>
        <w:rPr>
          <w:sz w:val="24"/>
        </w:rPr>
      </w:pPr>
      <w:r>
        <w:rPr>
          <w:noProof/>
        </w:rPr>
        <w:drawing>
          <wp:inline distT="0" distB="0" distL="0" distR="0" wp14:anchorId="03F0CF30" wp14:editId="4849185D">
            <wp:extent cx="5724525" cy="24765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43158CA" w14:textId="77777777" w:rsidR="006A783A" w:rsidRDefault="006A783A">
      <w:pPr>
        <w:spacing w:after="173" w:line="259" w:lineRule="auto"/>
        <w:ind w:left="-1" w:firstLine="0"/>
        <w:jc w:val="right"/>
        <w:rPr>
          <w:sz w:val="24"/>
        </w:rPr>
      </w:pPr>
    </w:p>
    <w:p w14:paraId="715D53E2" w14:textId="4D394310" w:rsidR="006A783A" w:rsidRPr="006A783A" w:rsidRDefault="006A783A" w:rsidP="006A783A">
      <w:pPr>
        <w:spacing w:after="173" w:line="259" w:lineRule="auto"/>
        <w:ind w:left="-1" w:firstLine="0"/>
        <w:rPr>
          <w:b/>
          <w:bCs/>
        </w:rPr>
      </w:pPr>
      <w:r w:rsidRPr="006A783A">
        <w:rPr>
          <w:b/>
          <w:bCs/>
        </w:rPr>
        <w:lastRenderedPageBreak/>
        <w:t>Relatório de Análise e Classificação de Jogos com KNN</w:t>
      </w:r>
    </w:p>
    <w:p w14:paraId="1C93E96B" w14:textId="1CE5BEAB" w:rsidR="006A783A" w:rsidRPr="006A783A" w:rsidRDefault="006A783A" w:rsidP="006A783A">
      <w:pPr>
        <w:spacing w:after="173" w:line="259" w:lineRule="auto"/>
        <w:ind w:left="-1" w:firstLine="0"/>
      </w:pPr>
      <w:r w:rsidRPr="006A783A">
        <w:t xml:space="preserve">O objetivo deste experimento foi aplicar um modelo de </w:t>
      </w:r>
      <w:r w:rsidRPr="006A783A">
        <w:rPr>
          <w:i/>
          <w:iCs/>
        </w:rPr>
        <w:t>Machine Learning</w:t>
      </w:r>
      <w:r w:rsidRPr="006A783A">
        <w:t xml:space="preserve"> (Aprendizado de Máquina) para tentar prever o gênero de um jogo eletrônico com base nas vendas por região geográfica.</w:t>
      </w:r>
      <w:r w:rsidRPr="006A783A">
        <w:br/>
        <w:t>A base de dados utilizada (</w:t>
      </w:r>
      <w:proofErr w:type="spellStart"/>
      <w:r w:rsidRPr="006A783A">
        <w:t>vgsales</w:t>
      </w:r>
      <w:proofErr w:type="spellEnd"/>
      <w:r w:rsidRPr="006A783A">
        <w:t>(in).</w:t>
      </w:r>
      <w:proofErr w:type="spellStart"/>
      <w:r w:rsidRPr="006A783A">
        <w:t>csv</w:t>
      </w:r>
      <w:proofErr w:type="spellEnd"/>
      <w:r w:rsidRPr="006A783A">
        <w:t>) contém informações históricas sobre jogos, incluindo vendas em milhões de unidades na América do Norte, Europa, Japão e outras regiões do mundo.</w:t>
      </w:r>
    </w:p>
    <w:p w14:paraId="339CFB62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Antes da aplicação do modelo KNN, foram realizadas as seguintes etapas de pré-processamento:</w:t>
      </w:r>
    </w:p>
    <w:p w14:paraId="2864B991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>Renomeação das colunas para português, facilitando a compreensão e documentação.</w:t>
      </w:r>
    </w:p>
    <w:p w14:paraId="3B2FB6C9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>Remoção de linhas sem o valor do ano de lançamento.</w:t>
      </w:r>
    </w:p>
    <w:p w14:paraId="3083FEF5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 xml:space="preserve">Substituição de valores ausentes na coluna </w:t>
      </w:r>
      <w:r w:rsidRPr="006A783A">
        <w:rPr>
          <w:i/>
          <w:iCs/>
        </w:rPr>
        <w:t>publicadora</w:t>
      </w:r>
      <w:r w:rsidRPr="006A783A">
        <w:t xml:space="preserve"> por "desconhecida".</w:t>
      </w:r>
    </w:p>
    <w:p w14:paraId="52D8D0D9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 xml:space="preserve">Conversão do tipo de dado da coluna </w:t>
      </w:r>
      <w:r w:rsidRPr="006A783A">
        <w:rPr>
          <w:i/>
          <w:iCs/>
        </w:rPr>
        <w:t>ano de lançamento</w:t>
      </w:r>
      <w:r w:rsidRPr="006A783A">
        <w:t xml:space="preserve"> para inteiro.</w:t>
      </w:r>
    </w:p>
    <w:p w14:paraId="62D0F87C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>Filtragem dos registros sem gênero definido ou cujas vendas somadas eram zero — evitando assim dados irrelevantes ou nulos para o modelo.</w:t>
      </w:r>
    </w:p>
    <w:p w14:paraId="2B6E9059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As variáveis numéricas utilizadas como entradas (features) foram:</w:t>
      </w:r>
    </w:p>
    <w:p w14:paraId="4BA47F32" w14:textId="77777777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proofErr w:type="gramStart"/>
      <w:r w:rsidRPr="006A783A">
        <w:t>vendas américa</w:t>
      </w:r>
      <w:proofErr w:type="gramEnd"/>
      <w:r w:rsidRPr="006A783A">
        <w:t xml:space="preserve"> do </w:t>
      </w:r>
      <w:proofErr w:type="gramStart"/>
      <w:r w:rsidRPr="006A783A">
        <w:t>norte</w:t>
      </w:r>
      <w:proofErr w:type="gramEnd"/>
    </w:p>
    <w:p w14:paraId="00B08B57" w14:textId="77777777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r w:rsidRPr="006A783A">
        <w:t xml:space="preserve">vendas </w:t>
      </w:r>
      <w:proofErr w:type="spellStart"/>
      <w:r w:rsidRPr="006A783A">
        <w:t>europa</w:t>
      </w:r>
      <w:proofErr w:type="spellEnd"/>
    </w:p>
    <w:p w14:paraId="0FDE4AD8" w14:textId="77777777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r w:rsidRPr="006A783A">
        <w:t xml:space="preserve">vendas </w:t>
      </w:r>
      <w:proofErr w:type="spellStart"/>
      <w:r w:rsidRPr="006A783A">
        <w:t>japao</w:t>
      </w:r>
      <w:proofErr w:type="spellEnd"/>
    </w:p>
    <w:p w14:paraId="211736CE" w14:textId="1A8BB516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r w:rsidRPr="006A783A">
        <w:t xml:space="preserve">vendas outras </w:t>
      </w:r>
      <w:proofErr w:type="spellStart"/>
      <w:r w:rsidRPr="006A783A">
        <w:t>regioes</w:t>
      </w:r>
      <w:proofErr w:type="spellEnd"/>
    </w:p>
    <w:p w14:paraId="5C621FB2" w14:textId="0AD29708" w:rsidR="006A783A" w:rsidRPr="006A783A" w:rsidRDefault="006A783A" w:rsidP="006A783A">
      <w:pPr>
        <w:spacing w:after="173" w:line="259" w:lineRule="auto"/>
        <w:ind w:left="-1" w:firstLine="0"/>
      </w:pPr>
      <w:r w:rsidRPr="006A783A">
        <w:t>A variável de saída (target) foi o gênero do jogo.</w:t>
      </w:r>
    </w:p>
    <w:p w14:paraId="3B622B4D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Como o modelo KNN (K-</w:t>
      </w:r>
      <w:proofErr w:type="spellStart"/>
      <w:r w:rsidRPr="006A783A">
        <w:t>Nearest</w:t>
      </w:r>
      <w:proofErr w:type="spellEnd"/>
      <w:r w:rsidRPr="006A783A">
        <w:t xml:space="preserve"> </w:t>
      </w:r>
      <w:proofErr w:type="spellStart"/>
      <w:r w:rsidRPr="006A783A">
        <w:t>Neighbors</w:t>
      </w:r>
      <w:proofErr w:type="spellEnd"/>
      <w:r w:rsidRPr="006A783A">
        <w:t>) trabalha apenas com valores numéricos:</w:t>
      </w:r>
    </w:p>
    <w:p w14:paraId="4023FED7" w14:textId="77777777" w:rsidR="006A783A" w:rsidRPr="006A783A" w:rsidRDefault="006A783A" w:rsidP="006A783A">
      <w:pPr>
        <w:numPr>
          <w:ilvl w:val="0"/>
          <w:numId w:val="4"/>
        </w:numPr>
        <w:spacing w:after="173" w:line="259" w:lineRule="auto"/>
      </w:pPr>
      <w:r w:rsidRPr="006A783A">
        <w:t xml:space="preserve">Os gêneros, originalmente em texto, foram codificados em números usando </w:t>
      </w:r>
      <w:proofErr w:type="spellStart"/>
      <w:r w:rsidRPr="006A783A">
        <w:t>LabelEncoder</w:t>
      </w:r>
      <w:proofErr w:type="spellEnd"/>
      <w:r w:rsidRPr="006A783A">
        <w:t>().</w:t>
      </w:r>
    </w:p>
    <w:p w14:paraId="3FF45E17" w14:textId="77777777" w:rsidR="006A783A" w:rsidRPr="006A783A" w:rsidRDefault="006A783A" w:rsidP="006A783A">
      <w:pPr>
        <w:numPr>
          <w:ilvl w:val="0"/>
          <w:numId w:val="4"/>
        </w:numPr>
        <w:spacing w:after="173" w:line="259" w:lineRule="auto"/>
      </w:pPr>
      <w:r w:rsidRPr="006A783A">
        <w:lastRenderedPageBreak/>
        <w:t xml:space="preserve">As colunas de vendas foram padronizadas (escalonadas) com </w:t>
      </w:r>
      <w:proofErr w:type="spellStart"/>
      <w:r w:rsidRPr="006A783A">
        <w:t>StandardScaler</w:t>
      </w:r>
      <w:proofErr w:type="spellEnd"/>
      <w:r w:rsidRPr="006A783A">
        <w:t>() para garantir que todas as variáveis tivessem o mesmo peso na distância euclidiana, já que o KNN é sensível à escala dos dados.</w:t>
      </w:r>
    </w:p>
    <w:p w14:paraId="764EC1BC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O conjunto foi dividido em:</w:t>
      </w:r>
    </w:p>
    <w:p w14:paraId="466B3857" w14:textId="77777777" w:rsidR="006A783A" w:rsidRPr="006A783A" w:rsidRDefault="006A783A" w:rsidP="006A783A">
      <w:pPr>
        <w:numPr>
          <w:ilvl w:val="0"/>
          <w:numId w:val="5"/>
        </w:numPr>
        <w:spacing w:after="173" w:line="259" w:lineRule="auto"/>
      </w:pPr>
      <w:r w:rsidRPr="006A783A">
        <w:t>80% para treinamento do modelo;</w:t>
      </w:r>
    </w:p>
    <w:p w14:paraId="1A5D42F1" w14:textId="77777777" w:rsidR="006A783A" w:rsidRPr="006A783A" w:rsidRDefault="006A783A" w:rsidP="006A783A">
      <w:pPr>
        <w:numPr>
          <w:ilvl w:val="0"/>
          <w:numId w:val="5"/>
        </w:numPr>
        <w:spacing w:after="173" w:line="259" w:lineRule="auto"/>
      </w:pPr>
      <w:r w:rsidRPr="006A783A">
        <w:t>20% para teste, garantindo uma avaliação imparcial do desempenho do modelo.</w:t>
      </w:r>
    </w:p>
    <w:p w14:paraId="06DDC928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 divisão foi feita de forma estratificada, mantendo a proporção original dos gêneros.</w:t>
      </w:r>
    </w:p>
    <w:p w14:paraId="66B62D42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Foi aplicado o algoritmo KNN (K-</w:t>
      </w:r>
      <w:proofErr w:type="spellStart"/>
      <w:r w:rsidRPr="006A783A">
        <w:t>Nearest</w:t>
      </w:r>
      <w:proofErr w:type="spellEnd"/>
      <w:r w:rsidRPr="006A783A">
        <w:t xml:space="preserve"> </w:t>
      </w:r>
      <w:proofErr w:type="spellStart"/>
      <w:r w:rsidRPr="006A783A">
        <w:t>Neighbors</w:t>
      </w:r>
      <w:proofErr w:type="spellEnd"/>
      <w:r w:rsidRPr="006A783A">
        <w:t>) com os seguintes parâmetros:</w:t>
      </w:r>
    </w:p>
    <w:p w14:paraId="75F32294" w14:textId="77777777" w:rsidR="006A783A" w:rsidRPr="006A783A" w:rsidRDefault="006A783A" w:rsidP="006A783A">
      <w:pPr>
        <w:numPr>
          <w:ilvl w:val="0"/>
          <w:numId w:val="6"/>
        </w:numPr>
        <w:spacing w:after="173" w:line="259" w:lineRule="auto"/>
      </w:pPr>
      <w:proofErr w:type="spellStart"/>
      <w:r w:rsidRPr="006A783A">
        <w:t>n_neighbors</w:t>
      </w:r>
      <w:proofErr w:type="spellEnd"/>
      <w:r w:rsidRPr="006A783A">
        <w:t xml:space="preserve"> = 5 → cada previsão considera os 5 vizinhos mais próximos;</w:t>
      </w:r>
    </w:p>
    <w:p w14:paraId="0B826D4C" w14:textId="77777777" w:rsidR="006A783A" w:rsidRPr="006A783A" w:rsidRDefault="006A783A" w:rsidP="006A783A">
      <w:pPr>
        <w:numPr>
          <w:ilvl w:val="0"/>
          <w:numId w:val="6"/>
        </w:numPr>
        <w:spacing w:after="173" w:line="259" w:lineRule="auto"/>
      </w:pPr>
      <w:proofErr w:type="spellStart"/>
      <w:r w:rsidRPr="006A783A">
        <w:t>metric</w:t>
      </w:r>
      <w:proofErr w:type="spellEnd"/>
      <w:r w:rsidRPr="006A783A">
        <w:t xml:space="preserve"> = '</w:t>
      </w:r>
      <w:proofErr w:type="spellStart"/>
      <w:r w:rsidRPr="006A783A">
        <w:t>minkowski</w:t>
      </w:r>
      <w:proofErr w:type="spellEnd"/>
      <w:r w:rsidRPr="006A783A">
        <w:t>' e p = 2 → que corresponde à distância euclidiana.</w:t>
      </w:r>
    </w:p>
    <w:p w14:paraId="25A7B4E2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O modelo foi então treinado com os dados escalonados.</w:t>
      </w:r>
    </w:p>
    <w:p w14:paraId="5AE8193C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Após o treinamento, o modelo foi avaliado sobre o conjunto de teste.</w:t>
      </w:r>
      <w:r w:rsidRPr="006A783A">
        <w:br/>
        <w:t>As métricas de avaliação utilizadas foram:</w:t>
      </w:r>
    </w:p>
    <w:p w14:paraId="151CED63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r w:rsidRPr="006A783A">
        <w:t>Acurácia (</w:t>
      </w:r>
      <w:proofErr w:type="spellStart"/>
      <w:r w:rsidRPr="006A783A">
        <w:t>Accuracy</w:t>
      </w:r>
      <w:proofErr w:type="spellEnd"/>
      <w:r w:rsidRPr="006A783A">
        <w:t>): percentual de previsões corretas.</w:t>
      </w:r>
    </w:p>
    <w:p w14:paraId="11CBB999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r w:rsidRPr="006A783A">
        <w:t>Precisão (</w:t>
      </w:r>
      <w:proofErr w:type="spellStart"/>
      <w:r w:rsidRPr="006A783A">
        <w:t>Precision</w:t>
      </w:r>
      <w:proofErr w:type="spellEnd"/>
      <w:r w:rsidRPr="006A783A">
        <w:t>): proporção de previsões corretas entre os casos classificados como positivos.</w:t>
      </w:r>
    </w:p>
    <w:p w14:paraId="4F9BD2C3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proofErr w:type="spellStart"/>
      <w:r w:rsidRPr="006A783A">
        <w:t>Revocação</w:t>
      </w:r>
      <w:proofErr w:type="spellEnd"/>
      <w:r w:rsidRPr="006A783A">
        <w:t xml:space="preserve"> (Recall): proporção de acertos entre os casos que realmente pertencem àquela classe.</w:t>
      </w:r>
    </w:p>
    <w:p w14:paraId="27F154D0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r w:rsidRPr="006A783A">
        <w:t xml:space="preserve">F1-score: média harmônica entre precisão e </w:t>
      </w:r>
      <w:proofErr w:type="spellStart"/>
      <w:r w:rsidRPr="006A783A">
        <w:t>revocação</w:t>
      </w:r>
      <w:proofErr w:type="spellEnd"/>
      <w:r w:rsidRPr="006A783A">
        <w:t>.</w:t>
      </w:r>
    </w:p>
    <w:p w14:paraId="5981F8D7" w14:textId="6D66E723" w:rsidR="006A783A" w:rsidRPr="006A783A" w:rsidRDefault="006A783A" w:rsidP="006A783A">
      <w:pPr>
        <w:spacing w:after="173" w:line="259" w:lineRule="auto"/>
        <w:ind w:left="-1" w:firstLine="0"/>
      </w:pPr>
      <w:r w:rsidRPr="006A783A">
        <w:t>Essas métricas foram apresentadas em formato de tabela, já traduzidas para o português.</w:t>
      </w:r>
    </w:p>
    <w:p w14:paraId="5B563C82" w14:textId="57E03D13" w:rsidR="006A783A" w:rsidRPr="006A783A" w:rsidRDefault="006A783A" w:rsidP="006A783A">
      <w:pPr>
        <w:spacing w:after="173" w:line="259" w:lineRule="auto"/>
        <w:ind w:left="-1" w:firstLine="0"/>
      </w:pPr>
      <w:r w:rsidRPr="006A783A">
        <w:t>Também foi gerada uma matriz de confusão exibindo as classificações corretas e incorretas para cada gênero — com linhas representando os valores reais e colunas representando as previsões do modelo.</w:t>
      </w:r>
    </w:p>
    <w:p w14:paraId="5B0BB3C8" w14:textId="4D068234" w:rsidR="006A783A" w:rsidRPr="006A783A" w:rsidRDefault="006A783A" w:rsidP="006A783A">
      <w:pPr>
        <w:spacing w:after="173" w:line="259" w:lineRule="auto"/>
        <w:ind w:left="-1" w:firstLine="0"/>
      </w:pPr>
      <w:r w:rsidRPr="006A783A">
        <w:t xml:space="preserve">A análise demonstrou que é possível utilizar o algoritmo KNN para prever o gênero de um jogo com base nas vendas regionais, obtendo resultados </w:t>
      </w:r>
      <w:r w:rsidRPr="006A783A">
        <w:lastRenderedPageBreak/>
        <w:t>coerentes com a distribuição dos dados.</w:t>
      </w:r>
      <w:r w:rsidRPr="006A783A">
        <w:br/>
        <w:t>Esse tipo de modelagem pode ser útil para identificar padrões de consumo por região, prever tendências de mercado e auxiliar em decisões estratégicas de desenvolvimento ou marketing no setor de jogos.</w:t>
      </w:r>
    </w:p>
    <w:p w14:paraId="026A8D3E" w14:textId="77777777" w:rsidR="00C746E5" w:rsidRDefault="00000000">
      <w:pPr>
        <w:spacing w:after="0" w:line="259" w:lineRule="auto"/>
        <w:ind w:left="0" w:firstLine="0"/>
      </w:pPr>
      <w:r>
        <w:rPr>
          <w:color w:val="3C4043"/>
          <w:sz w:val="21"/>
        </w:rPr>
        <w:t xml:space="preserve">Anderson e Guilherme Marconi </w:t>
      </w:r>
    </w:p>
    <w:sectPr w:rsidR="00C746E5">
      <w:pgSz w:w="11905" w:h="16840"/>
      <w:pgMar w:top="1440" w:right="1397" w:bottom="165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E9D"/>
    <w:multiLevelType w:val="multilevel"/>
    <w:tmpl w:val="A76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2001"/>
    <w:multiLevelType w:val="multilevel"/>
    <w:tmpl w:val="186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47A4"/>
    <w:multiLevelType w:val="multilevel"/>
    <w:tmpl w:val="400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08E8"/>
    <w:multiLevelType w:val="multilevel"/>
    <w:tmpl w:val="CEB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91BB3"/>
    <w:multiLevelType w:val="multilevel"/>
    <w:tmpl w:val="95F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574FE"/>
    <w:multiLevelType w:val="multilevel"/>
    <w:tmpl w:val="0E4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50255"/>
    <w:multiLevelType w:val="hybridMultilevel"/>
    <w:tmpl w:val="4386BF5A"/>
    <w:lvl w:ilvl="0" w:tplc="607E2152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C47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947D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427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65B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68D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E22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E56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264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412959">
    <w:abstractNumId w:val="6"/>
  </w:num>
  <w:num w:numId="2" w16cid:durableId="2074966706">
    <w:abstractNumId w:val="3"/>
  </w:num>
  <w:num w:numId="3" w16cid:durableId="945844114">
    <w:abstractNumId w:val="5"/>
  </w:num>
  <w:num w:numId="4" w16cid:durableId="360782153">
    <w:abstractNumId w:val="1"/>
  </w:num>
  <w:num w:numId="5" w16cid:durableId="742607595">
    <w:abstractNumId w:val="0"/>
  </w:num>
  <w:num w:numId="6" w16cid:durableId="1778670293">
    <w:abstractNumId w:val="4"/>
  </w:num>
  <w:num w:numId="7" w16cid:durableId="203872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E5"/>
    <w:rsid w:val="006A783A"/>
    <w:rsid w:val="00950958"/>
    <w:rsid w:val="00C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06F4"/>
  <w15:docId w15:val="{268471E6-9D8C-4624-A880-870D37B1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829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Marconi</dc:creator>
  <cp:keywords/>
  <cp:lastModifiedBy>Guilherme Marconi</cp:lastModifiedBy>
  <cp:revision>2</cp:revision>
  <dcterms:created xsi:type="dcterms:W3CDTF">2025-10-11T23:11:00Z</dcterms:created>
  <dcterms:modified xsi:type="dcterms:W3CDTF">2025-10-11T23:11:00Z</dcterms:modified>
</cp:coreProperties>
</file>