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1030B" w14:textId="459194E6" w:rsidR="00A24E03" w:rsidRDefault="00356451" w:rsidP="00356451">
      <w:pPr>
        <w:jc w:val="center"/>
      </w:pPr>
      <w:r>
        <w:rPr>
          <w:noProof/>
        </w:rPr>
        <w:drawing>
          <wp:inline distT="0" distB="0" distL="0" distR="0" wp14:anchorId="0B3FCC85" wp14:editId="6B3061E6">
            <wp:extent cx="4791075" cy="264681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190" cy="2647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A09C7" w14:textId="0526096A" w:rsidR="00356451" w:rsidRDefault="00356451" w:rsidP="00356451">
      <w:pPr>
        <w:jc w:val="center"/>
      </w:pPr>
    </w:p>
    <w:p w14:paraId="1F43CD33" w14:textId="67274E8C" w:rsidR="00356451" w:rsidRDefault="00356451" w:rsidP="003564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BRAINSTORM:</w:t>
      </w:r>
    </w:p>
    <w:p w14:paraId="69FD3902" w14:textId="3A2F6E80" w:rsidR="00356451" w:rsidRDefault="00356451" w:rsidP="0035645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Devem ser claramente demarcadas as vagas e a quantidade de carros que podem ser estacionados;</w:t>
      </w:r>
    </w:p>
    <w:p w14:paraId="48AEFC9E" w14:textId="4FCBF075" w:rsidR="00356451" w:rsidRDefault="00356451" w:rsidP="0035645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Evitar a superlotação fechando a entrada assim que for atingido o número máximo de carros;</w:t>
      </w:r>
    </w:p>
    <w:p w14:paraId="5DD4927E" w14:textId="1455F159" w:rsidR="00356451" w:rsidRDefault="00356451" w:rsidP="0035645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Deve-se deixar claro aos manobristas a quantidade de carros</w:t>
      </w:r>
    </w:p>
    <w:p w14:paraId="4018AD83" w14:textId="144AF6EB" w:rsidR="00356451" w:rsidRDefault="00356451" w:rsidP="0035645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Deve-se ser aplicado um sistema para gerenciamento dos carros, </w:t>
      </w:r>
      <w:r w:rsidR="00217740">
        <w:rPr>
          <w:rFonts w:ascii="Arial" w:hAnsi="Arial" w:cs="Arial"/>
          <w:sz w:val="24"/>
          <w:szCs w:val="24"/>
        </w:rPr>
        <w:t xml:space="preserve">tempo de </w:t>
      </w:r>
      <w:r>
        <w:rPr>
          <w:rFonts w:ascii="Arial" w:hAnsi="Arial" w:cs="Arial"/>
          <w:sz w:val="24"/>
          <w:szCs w:val="24"/>
        </w:rPr>
        <w:t>permanência, valor cobrado e liberação de saída após o pagamento</w:t>
      </w:r>
      <w:r w:rsidR="00C27FF7">
        <w:rPr>
          <w:rFonts w:ascii="Arial" w:hAnsi="Arial" w:cs="Arial"/>
          <w:sz w:val="24"/>
          <w:szCs w:val="24"/>
        </w:rPr>
        <w:t>;</w:t>
      </w:r>
    </w:p>
    <w:p w14:paraId="12944EDE" w14:textId="4FC38BCD" w:rsidR="00356451" w:rsidRPr="00356451" w:rsidRDefault="00356451" w:rsidP="0035645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Utilizar m</w:t>
      </w:r>
      <w:r w:rsidR="00C27FF7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>quinas de cartão</w:t>
      </w:r>
      <w:r w:rsidR="00C27FF7">
        <w:rPr>
          <w:rFonts w:ascii="Arial" w:hAnsi="Arial" w:cs="Arial"/>
          <w:sz w:val="24"/>
          <w:szCs w:val="24"/>
        </w:rPr>
        <w:t>;</w:t>
      </w:r>
    </w:p>
    <w:sectPr w:rsidR="00356451" w:rsidRPr="003564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F36E12"/>
    <w:multiLevelType w:val="hybridMultilevel"/>
    <w:tmpl w:val="CA1ABF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9F3"/>
    <w:rsid w:val="001E69F3"/>
    <w:rsid w:val="00217740"/>
    <w:rsid w:val="00356451"/>
    <w:rsid w:val="00A24E03"/>
    <w:rsid w:val="00C2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8AD6A"/>
  <w15:chartTrackingRefBased/>
  <w15:docId w15:val="{DA1EC50B-45E0-4003-85A4-A54A2DB8D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6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66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de Mello Ferreira</dc:creator>
  <cp:keywords/>
  <dc:description/>
  <cp:lastModifiedBy>Guilherme de Mello Ferreira</cp:lastModifiedBy>
  <cp:revision>3</cp:revision>
  <dcterms:created xsi:type="dcterms:W3CDTF">2021-04-06T12:14:00Z</dcterms:created>
  <dcterms:modified xsi:type="dcterms:W3CDTF">2021-04-06T12:25:00Z</dcterms:modified>
</cp:coreProperties>
</file>