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RN01 - A recepcionista deve verificar os horários disponíveis na agenda.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RN02 - Se houver disponibilidade na data requerida pelo paciente, a secretária agenda a consulta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RN03 - O paciente deve efetuar o pagamento após o agendamento.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RN04 - Caso o paciente não for cadastrado, seus dados serão registrados em Pacientes.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RN05 - A inadimplência do pagamento resultará no cancelamento das consultas.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RN06 - Na primeira consulta antes do tratamento o paciente deve apresentar o laudo médico.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RN07 - O fisioterapeuta deve adicionar o laudo médico no Histórico Médico Paciente.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RN08 - As avaliações físicas serão realizadas antes, durante (no meio do tratamento) e na última sessão.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RN09 - Após cada avaliação física o fisioterapeuta adiciona no prontuário do Paciente.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RN10 - Com as informações do laudo médico e da avaliação física, o fisioterapeuta criará o tratamento adequado.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RN11 - Após a criação do tratamento o fisioterapeuta insere o mesmo na ficha do Paciente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RN12 - O profissional irá dar início ao tratamento após o cumprimento de todas as regras anteriores.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A+9NYgq88FsSatFuLuyqH2qPgw==">CgMxLjA4AHIhMVgzMXFqT3h6OGV2UHE1OVVHVzBpaUZwZExoT3JocUk3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