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color w:val="000000"/>
          <w:kern w:val="0"/>
          <w:sz w:val="30"/>
          <w:szCs w:val="30"/>
        </w:rPr>
        <w:t>《电工与电子技术基础</w:t>
      </w:r>
      <w:r>
        <w:rPr>
          <w:rFonts w:eastAsia="黑体"/>
          <w:b/>
          <w:bCs/>
          <w:color w:val="000000"/>
          <w:kern w:val="0"/>
          <w:sz w:val="30"/>
          <w:szCs w:val="30"/>
        </w:rPr>
        <w:t>II</w:t>
      </w:r>
      <w:r>
        <w:rPr>
          <w:rFonts w:ascii="黑体" w:eastAsia="黑体" w:hAnsi="黑体" w:hint="eastAsia"/>
          <w:b/>
          <w:bCs/>
          <w:color w:val="000000"/>
          <w:kern w:val="0"/>
          <w:sz w:val="30"/>
          <w:szCs w:val="30"/>
        </w:rPr>
        <w:t>课程设计》成绩评定</w:t>
      </w:r>
      <w:r>
        <w:rPr>
          <w:rFonts w:ascii="黑体" w:eastAsia="黑体" w:hAnsi="黑体" w:hint="eastAsia"/>
          <w:b/>
          <w:bCs/>
          <w:sz w:val="30"/>
          <w:szCs w:val="30"/>
        </w:rPr>
        <w:t>表</w:t>
      </w:r>
    </w:p>
    <w:p>
      <w:pPr>
        <w:pStyle w:val="style0"/>
        <w:ind w:left="1133" w:leftChars="472"/>
        <w:rPr>
          <w:b/>
          <w:bCs/>
        </w:rPr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  <w:lang w:eastAsia="zh-CN"/>
        </w:rPr>
        <w:t>安天雷</w:t>
      </w:r>
      <w:r>
        <w:t xml:space="preserve"> 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班级</w:t>
      </w:r>
      <w:r>
        <w:rPr>
          <w:rFonts w:hint="eastAsia"/>
          <w:b/>
          <w:bCs/>
          <w:lang w:eastAsia="zh-CN"/>
        </w:rPr>
        <w:t>：</w:t>
      </w:r>
      <w:r>
        <w:rPr>
          <w:rFonts w:hint="default"/>
          <w:b/>
          <w:bCs/>
          <w:lang w:val="en-US" w:eastAsia="zh-CN"/>
        </w:rPr>
        <w:t>2018220106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</w:t>
      </w:r>
      <w:r>
        <w:rPr>
          <w:rFonts w:hint="eastAsia"/>
          <w:b/>
          <w:bCs/>
        </w:rPr>
        <w:t>学号：</w:t>
      </w:r>
      <w:bookmarkStart w:id="0" w:name="_GoBack"/>
      <w:bookmarkEnd w:id="0"/>
      <w:r>
        <w:rPr>
          <w:rFonts w:hint="default"/>
          <w:b/>
          <w:bCs/>
          <w:lang w:val="en-US"/>
        </w:rPr>
        <w:t>2018904307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 xml:space="preserve">        </w:t>
      </w:r>
    </w:p>
    <w:tbl>
      <w:tblPr>
        <w:tblStyle w:val="style105"/>
        <w:tblW w:w="885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57" w:type="dxa"/>
          <w:bottom w:w="0" w:type="dxa"/>
          <w:right w:w="28" w:type="dxa"/>
        </w:tblCellMar>
      </w:tblPr>
      <w:tblGrid>
        <w:gridCol w:w="843"/>
        <w:gridCol w:w="6575"/>
        <w:gridCol w:w="1440"/>
      </w:tblGrid>
      <w:tr>
        <w:trPr>
          <w:cantSplit/>
          <w:trHeight w:val="492" w:hRule="atLeast"/>
          <w:jc w:val="center"/>
        </w:trPr>
        <w:tc>
          <w:tcPr>
            <w:tcW w:w="84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题目</w:t>
            </w: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数字智力抢答器</w:t>
            </w:r>
          </w:p>
        </w:tc>
      </w:tr>
      <w:tr>
        <w:tblPrEx/>
        <w:trPr>
          <w:cantSplit/>
          <w:trHeight w:val="2295" w:hRule="atLeast"/>
          <w:jc w:val="center"/>
        </w:trPr>
        <w:tc>
          <w:tcPr>
            <w:tcW w:w="84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</w:t>
            </w:r>
          </w:p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技术</w:t>
            </w:r>
          </w:p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指标</w:t>
            </w:r>
          </w:p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与</w:t>
            </w:r>
          </w:p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要求</w:t>
            </w: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widowControl/>
              <w:ind w:firstLine="616" w:firstLineChars="257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1）抢答器可供四组使用，组别键(信)号可以锁存；抢答指示用发光二极管(LED)。</w:t>
            </w:r>
          </w:p>
          <w:p>
            <w:pPr>
              <w:pStyle w:val="style0"/>
              <w:widowControl/>
              <w:ind w:firstLine="539" w:firstLineChars="257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（2）记分部分独立(不受组别信号控制)，至少用2位二组数码管指示，步进有10分，并且具有预置、递增、递减功能。</w:t>
            </w:r>
          </w:p>
          <w:p>
            <w:pPr>
              <w:pStyle w:val="style0"/>
              <w:widowControl/>
              <w:ind w:firstLine="539" w:firstLineChars="257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（3）要求性能可靠、操作简便。</w:t>
            </w:r>
          </w:p>
          <w:p>
            <w:pPr>
              <w:pStyle w:val="style0"/>
              <w:widowControl/>
              <w:ind w:firstLine="616" w:firstLineChars="257"/>
              <w:jc w:val="left"/>
              <w:rPr>
                <w:bCs/>
                <w:color w:val="ff0000"/>
              </w:rPr>
            </w:pPr>
          </w:p>
        </w:tc>
      </w:tr>
      <w:tr>
        <w:tblPrEx/>
        <w:trPr>
          <w:cantSplit/>
          <w:trHeight w:val="542" w:hRule="atLeast"/>
          <w:jc w:val="center"/>
        </w:trPr>
        <w:tc>
          <w:tcPr>
            <w:tcW w:w="843" w:type="dxa"/>
            <w:vMerge w:val="restart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组员</w:t>
            </w:r>
          </w:p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各自</w:t>
            </w:r>
          </w:p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承担</w:t>
            </w:r>
          </w:p>
          <w:p>
            <w:pPr>
              <w:pStyle w:val="style0"/>
              <w:spacing w:after="32" w:afterLines="1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</w:t>
            </w: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spacing w:after="32" w:afterLines="1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张行文：抢答锁存电路、组别信号电路部分以及参考资料的查找。</w:t>
            </w:r>
          </w:p>
        </w:tc>
      </w:tr>
      <w:tr>
        <w:tblPrEx/>
        <w:trPr>
          <w:cantSplit/>
          <w:trHeight w:val="517" w:hRule="atLeas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spacing w:after="32" w:afterLines="1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安天雷：步进电路、报警电路部分以及电路图的绘制</w:t>
            </w:r>
          </w:p>
        </w:tc>
      </w:tr>
      <w:tr>
        <w:tblPrEx/>
        <w:trPr>
          <w:cantSplit/>
          <w:trHeight w:val="480" w:hRule="atLeas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spacing w:after="32" w:afterLines="1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师海涛：计分电路、总体电路图以及仿真部分</w:t>
            </w:r>
          </w:p>
        </w:tc>
      </w:tr>
      <w:tr>
        <w:tblPrEx/>
        <w:trPr>
          <w:cantSplit/>
          <w:trHeight w:val="760" w:hRule="atLeast"/>
          <w:jc w:val="center"/>
        </w:trPr>
        <w:tc>
          <w:tcPr>
            <w:tcW w:w="843" w:type="dxa"/>
            <w:vMerge w:val="restart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</w:t>
            </w:r>
          </w:p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情况</w:t>
            </w:r>
          </w:p>
        </w:tc>
        <w:tc>
          <w:tcPr>
            <w:tcW w:w="6575" w:type="dxa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总体方案论证（</w:t>
            </w:r>
            <w:r>
              <w:rPr>
                <w:b/>
                <w:bCs/>
                <w:color w:val="000000"/>
                <w:sz w:val="21"/>
                <w:szCs w:val="21"/>
              </w:rPr>
              <w:t>10分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pStyle w:val="style0"/>
              <w:spacing w:after="32" w:afterLines="10"/>
              <w:rPr>
                <w:b/>
                <w:bCs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18"/>
                <w:szCs w:val="18"/>
              </w:rPr>
              <w:t>方案的比较与选择，所选方案是否可行、设计是否合理，电路框图是否正确。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</w:p>
        </w:tc>
      </w:tr>
      <w:tr>
        <w:tblPrEx/>
        <w:trPr>
          <w:cantSplit/>
          <w:trHeight w:val="1043" w:hRule="atLeas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575" w:type="dxa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电路设计及成果（</w:t>
            </w:r>
            <w:r>
              <w:rPr>
                <w:b/>
                <w:bCs/>
                <w:color w:val="000000"/>
                <w:sz w:val="21"/>
                <w:szCs w:val="21"/>
              </w:rPr>
              <w:t>30分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pStyle w:val="style0"/>
              <w:spacing w:after="32" w:afterLines="10"/>
              <w:rPr>
                <w:rFonts w:ascii="楷体" w:eastAsia="楷体" w:hAnsi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hint="eastAsia"/>
                <w:color w:val="000000"/>
                <w:sz w:val="18"/>
                <w:szCs w:val="18"/>
              </w:rPr>
              <w:t>单元电路</w:t>
            </w:r>
            <w:r>
              <w:rPr>
                <w:rFonts w:ascii="楷体" w:eastAsia="楷体" w:hAnsi="楷体" w:hint="eastAsia"/>
                <w:color w:val="000000"/>
                <w:kern w:val="0"/>
                <w:sz w:val="18"/>
                <w:szCs w:val="18"/>
              </w:rPr>
              <w:t>设计是否合理</w:t>
            </w:r>
            <w:r>
              <w:rPr>
                <w:rFonts w:ascii="楷体" w:eastAsia="楷体" w:hAnsi="楷体" w:hint="eastAsia"/>
                <w:color w:val="000000"/>
                <w:sz w:val="18"/>
                <w:szCs w:val="18"/>
              </w:rPr>
              <w:t>、参数的计算是否正确</w:t>
            </w:r>
            <w:r>
              <w:rPr>
                <w:rFonts w:eastAsia="楷体" w:hint="eastAsia"/>
                <w:color w:val="000000"/>
                <w:sz w:val="18"/>
                <w:szCs w:val="18"/>
              </w:rPr>
              <w:t>；</w:t>
            </w:r>
            <w:r>
              <w:rPr>
                <w:rFonts w:ascii="楷体" w:eastAsia="楷体" w:hAnsi="楷体" w:hint="eastAsia"/>
                <w:color w:val="000000"/>
                <w:sz w:val="18"/>
                <w:szCs w:val="18"/>
              </w:rPr>
              <w:t>总体电路</w:t>
            </w:r>
            <w:r>
              <w:rPr>
                <w:rFonts w:ascii="楷体" w:eastAsia="楷体" w:hAnsi="楷体" w:hint="eastAsia"/>
                <w:color w:val="000000"/>
                <w:kern w:val="0"/>
                <w:sz w:val="18"/>
                <w:szCs w:val="18"/>
              </w:rPr>
              <w:t>设计是否合理，各个环节是否完整，</w:t>
            </w:r>
            <w:r>
              <w:rPr>
                <w:rFonts w:ascii="楷体" w:eastAsia="楷体" w:hAnsi="楷体" w:hint="eastAsia"/>
                <w:color w:val="000000"/>
                <w:sz w:val="18"/>
                <w:szCs w:val="18"/>
              </w:rPr>
              <w:t>设计是否有一定的创新性或创新意识。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/>
        <w:trPr>
          <w:cantSplit/>
          <w:trHeight w:val="792" w:hRule="exac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报告的规范性（</w:t>
            </w:r>
            <w:r>
              <w:rPr>
                <w:b/>
                <w:bCs/>
                <w:color w:val="000000"/>
                <w:sz w:val="21"/>
                <w:szCs w:val="21"/>
              </w:rPr>
              <w:t>20分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pStyle w:val="style0"/>
              <w:spacing w:after="32" w:afterLines="10"/>
              <w:rPr>
                <w:rFonts w:ascii="楷体" w:eastAsia="楷体" w:hAnsi="楷体"/>
                <w:bCs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18"/>
                <w:szCs w:val="18"/>
              </w:rPr>
              <w:t>报告格式是否规范，论述是否条理清楚、文字通顺，图表是否完整、清晰。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</w:p>
        </w:tc>
      </w:tr>
      <w:tr>
        <w:tblPrEx/>
        <w:trPr>
          <w:cantSplit/>
          <w:trHeight w:val="1123" w:hRule="exac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任务达成度及答辩表现（</w:t>
            </w:r>
            <w:r>
              <w:rPr>
                <w:b/>
                <w:bCs/>
                <w:color w:val="000000"/>
                <w:sz w:val="21"/>
                <w:szCs w:val="21"/>
              </w:rPr>
              <w:t>30分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pStyle w:val="style0"/>
              <w:spacing w:after="32" w:afterLines="10"/>
              <w:rPr>
                <w:bCs/>
                <w:color w:val="000000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18"/>
                <w:szCs w:val="18"/>
              </w:rPr>
              <w:t>本人在团队中承担的工作及其完成情况；答辩时能否简明、准确地阐述设计方案，能否熟练、准确地回答问题。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/>
        <w:trPr>
          <w:cantSplit/>
          <w:trHeight w:val="700" w:hRule="atLeast"/>
          <w:jc w:val="center"/>
        </w:trPr>
        <w:tc>
          <w:tcPr>
            <w:tcW w:w="843" w:type="dxa"/>
            <w:vMerge w:val="continue"/>
            <w:tcBorders/>
            <w:vAlign w:val="center"/>
          </w:tcPr>
          <w:p>
            <w:pPr>
              <w:pStyle w:val="style0"/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tcBorders/>
            <w:vAlign w:val="center"/>
          </w:tcPr>
          <w:p>
            <w:pPr>
              <w:pStyle w:val="style0"/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其它（</w:t>
            </w:r>
            <w:r>
              <w:rPr>
                <w:b/>
                <w:bCs/>
                <w:color w:val="000000"/>
                <w:sz w:val="21"/>
                <w:szCs w:val="21"/>
              </w:rPr>
              <w:t>10分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pStyle w:val="style0"/>
              <w:spacing w:after="32" w:afterLines="10"/>
              <w:jc w:val="left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18"/>
                <w:szCs w:val="18"/>
              </w:rPr>
              <w:t>学生的工作表现，团队协作精神等等。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/>
        <w:trPr>
          <w:cantSplit/>
          <w:trHeight w:val="634" w:hRule="exact"/>
          <w:jc w:val="center"/>
        </w:trPr>
        <w:tc>
          <w:tcPr>
            <w:tcW w:w="84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成绩</w:t>
            </w: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A: </w:t>
            </w:r>
            <w:r>
              <w:rPr>
                <w:rFonts w:hint="eastAsia"/>
                <w:bCs/>
                <w:color w:val="000000"/>
              </w:rPr>
              <w:t>优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bCs/>
                <w:color w:val="000000"/>
              </w:rPr>
              <w:t xml:space="preserve">   B: </w:t>
            </w:r>
            <w:r>
              <w:rPr>
                <w:rFonts w:hint="eastAsia"/>
                <w:bCs/>
                <w:color w:val="000000"/>
              </w:rPr>
              <w:t>良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</w:t>
            </w:r>
            <w:r>
              <w:rPr>
                <w:bCs/>
                <w:color w:val="000000"/>
              </w:rPr>
              <w:t>C</w:t>
            </w:r>
            <w:r>
              <w:rPr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中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D: </w:t>
            </w:r>
            <w:r>
              <w:rPr>
                <w:rFonts w:hint="eastAsia"/>
                <w:bCs/>
                <w:color w:val="000000"/>
              </w:rPr>
              <w:t>及格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E:</w:t>
            </w:r>
            <w:r>
              <w:rPr>
                <w:rFonts w:hint="eastAsia"/>
                <w:color w:val="000000"/>
              </w:rPr>
              <w:t>不</w:t>
            </w:r>
            <w:r>
              <w:rPr>
                <w:rFonts w:hint="eastAsia"/>
                <w:bCs/>
                <w:color w:val="000000"/>
              </w:rPr>
              <w:t>及格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/>
        <w:trPr>
          <w:cantSplit/>
          <w:trHeight w:val="3427" w:hRule="atLeast"/>
          <w:jc w:val="center"/>
        </w:trPr>
        <w:tc>
          <w:tcPr>
            <w:tcW w:w="84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评定</w:t>
            </w:r>
          </w:p>
          <w:p>
            <w:pPr>
              <w:pStyle w:val="style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意见</w:t>
            </w:r>
          </w:p>
        </w:tc>
        <w:tc>
          <w:tcPr>
            <w:tcW w:w="8015" w:type="dxa"/>
            <w:gridSpan w:val="2"/>
            <w:tcBorders/>
            <w:vAlign w:val="center"/>
          </w:tcPr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ff0000"/>
              </w:rPr>
            </w:pPr>
          </w:p>
          <w:p>
            <w:pPr>
              <w:pStyle w:val="style0"/>
              <w:rPr>
                <w:bCs/>
                <w:color w:val="000000"/>
              </w:rPr>
            </w:pPr>
          </w:p>
          <w:p>
            <w:pPr>
              <w:pStyle w:val="style0"/>
              <w:ind w:firstLine="5237" w:firstLineChars="2484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指导教师：</w:t>
            </w:r>
            <w:r>
              <w:rPr>
                <w:b/>
                <w:bCs/>
                <w:color w:val="000000"/>
                <w:sz w:val="21"/>
                <w:szCs w:val="21"/>
                <w:u w:val="single"/>
              </w:rPr>
              <w:t xml:space="preserve">             </w:t>
            </w:r>
          </w:p>
          <w:p>
            <w:pPr>
              <w:pStyle w:val="style0"/>
              <w:ind w:firstLine="5237" w:firstLineChars="2484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ind w:firstLine="720" w:firstLineChars="300"/>
        <w:rPr>
          <w:color w:val="ff0000"/>
        </w:rPr>
      </w:pPr>
    </w:p>
    <w:sectPr>
      <w:pgSz w:w="11906" w:h="16838" w:orient="portrait"/>
      <w:pgMar w:top="1021" w:right="720" w:bottom="1135" w:left="720" w:header="851" w:footer="992" w:gutter="0"/>
      <w:pgNumType w:fmt="numberInDash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楷体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4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rFonts w:ascii="Times New Roman" w:cs="Times New Roman" w:eastAsia="宋体" w:hAnsi="Times New Roman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Words>526</Words>
  <Pages>1</Pages>
  <Characters>560</Characters>
  <Application>WPS Office</Application>
  <DocSecurity>0</DocSecurity>
  <Paragraphs>70</Paragraphs>
  <ScaleCrop>false</ScaleCrop>
  <LinksUpToDate>false</LinksUpToDate>
  <CharactersWithSpaces>661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2019-06-11T10:07:00Z</dcterms:created>
  <dc:creator>Maode Yan</dc:creator>
  <lastModifiedBy>MI 8</lastModifiedBy>
  <dcterms:modified xsi:type="dcterms:W3CDTF">2019-12-24T12:44:46Z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