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B2C22"/>
          <w:sz w:val="18"/>
          <w:szCs w:val="18"/>
        </w:rPr>
        <w:t xml:space="preserve">ROTEIRO DE INQUIRIÇÃO — VERSÃO REVISTA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Testemunha: Felipe Mendes Moraes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Coordenador-Geral de Tecnologia e Segurança da Informação — Receita Federal do Brasil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570"/>
          <w:sz w:val="20"/>
          <w:szCs w:val="20"/>
        </w:rPr>
        <w:t xml:space="preserve">Processo nº 0011652-20.2025.5.03.0037 — 3ª Vara do Trabalho de Juiz de Fora / TRT-3</w:t>
      </w:r>
    </w:p>
    <w:p>
      <w:pPr>
        <w:pBdr>
          <w:bottom w:val="single" w:color="C9D0D8" w:sz="6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Este roteiro substitui a versão anterior (Perguntas_Felipe_v4_FINAL). Reduz 90 perguntas para 16, corrige um erro material que poderia comprometer a credibilidade da defesa em audiência e reorganiza a sequência em torno do que a testemunha efetivamente pode responder.</w:t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Parte 1 — Nota crítica prévia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570"/>
          <w:sz w:val="19"/>
          <w:szCs w:val="19"/>
        </w:rPr>
        <w:t xml:space="preserve">Leitura obrigatória antes de usar o roteiro.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1.1  Erro material que precisa ser corrigido antes da audiência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documento anterior constrói dois blocos inteiros (Bloco 2 e Bloco 8) sobre a premissa de que o Item 29 do Relatório do SERPRO confessa que a coleta via Live Response não funcionou. Essa leitura não se sustenta.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o Item 29 realmente diz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(fls. 196/197)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 DISEG não possuía função administrativa no MS365 que possibilitasse o download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dos logs do Compliance do MS365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sistema distinto, de auditoria corporativa do Microsoft 365. O Item 29 não trata dos artefatos da estação.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o Anexo I diz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(fls. 197/198)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 coluna “Origem” atribui expressamente a cada artefato o método de coleta. Cinco arquivos constam como “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Ação de live response na estação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” — access.log, aplicacoeshospedadas.zip, error.log, php_error_log e ssl_request.log. O MDE_Investigation_Package consta como “Coleta automática do Microsoft Defender”. Sete arquivos constam como “Consulta Avançada (Advanced Hunting)”. Três vêm do portal Azure.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 seja: houve coleta, ela está documentada, e o método de cada artefato está registrado. Se essa contradição inexistente for levada à audiência, a testemunha a desfaz em uma frase — e tudo que vier depois passa a ser ouvido com desconfiança. O custo de errar aqui é alto e desnecessário, porque o argumento verdadeiro é muito mais forte.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Pelo mesmo motivo cai a tese do Bloco 8 de que o código-fonte “apareceu só em 2024”: o arquivo aplicacoeshospedadas.zip, descrito no Anexo I como “Código fonte da aplicação disponibilizada pelo Apache/XAMPP”, foi coletado da estação em novembro de 2022 por live response.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1.2  Sobre pedir ao Juízo que reconheça “fraude processual”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Entendo o objetivo, e ele é legítimo. Mas preciso ser direto: o acervo dos autos sustenta com muita força nulidade, cerceamento de defesa e inovação da causa de pedir. Não sustenta, com o mesmo grau de segurança, fraude processual dolosa.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Fraude exige demonstrar intenção de enganar. O que os autos demonstram com clareza é outra coisa, e é suficiente: uma acusação que se estreitou até virar uma omissão de formulário, uma investigação que coletou exatamente as provas capazes de resolver o caso e nunca as entregou, e uma contestação que ressuscita fatos que a própria Comissão declarou fora do objeto.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Alegar fraude e não provar tem um custo concreto: o juiz passa a ler toda a defesa como exagerada, e as teses realmente vencedoras — perdão tácito, excesso de prazo, motivos determinantes — perdem força por contaminação. O caminho mais seguro para os dois resultados que você quer (nulidade com reintegração ou conversão em dispensa imotivada) é o oposto: sobriedade absoluta na forma e agressividade só nos fatos.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formulação recomendada, se for para nomear a gravidade, é “ausência de suporte probatório e inovação da causa de pedir” — não “fraude”. Deixe que a conclusão sobre má-fé se forme na cabeça do julgador a partir dos fatos, em vez de pedi-la em voz alta.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1.3  Problemas de forma no roteiro anterior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Independentemente do mérito, a versão anterior é inutilizável em audiência pelos seguintes motivos: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Problema</w:t>
            </w:r>
          </w:p>
        </w:tc>
        <w:tc>
          <w:tcPr>
            <w:tcW w:type="dxa" w:w="58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Consequência prática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Cerca de 90 perguntas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Nenhum juízo trabalhista admite. Na prática, uma testemunha responde de 12 a 20 perguntas. O excesso obriga o juiz a cortar — e ele corta por critério dele, não pelo seu.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Perguntas com preâmbulo longo citando folhas e transcrevendo trechos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São alegações com ponto de interrogação no fim. O juiz indefere ou reformula, e a força se perde.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Perguntas que pedem juízo de valor (“é tecnicamente verdadeira ou falsa?”, “esse documento é confiável?”)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Testemunha depõe sobre fato, não emite parecer. Serão indeferidas e ainda sinalizam que a defesa está argumentando, não colhendo prova.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Perguntas acusatórias (“o senhor admite que criou falsa impressão?”)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Provocam intervenção do juiz e deixam a testemunha defensiva pelo resto do depoimento. Uma testemunha na defensiva responde por evasivas; uma testemunha tranquila responde “não sei” e “não fui eu” — que é exatamente o que interessa.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Perguntas sobre a contestação do SERPRO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Felipe é da RFB. Ele não redigiu nem validou a contestação e responderá “desconheço”. A contradição entre a Nota e a contestação é matéria de memorial, não de inquirição.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Boxes “Para compreensão do Juízo”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Não podem ser lidos em audiência. Pertencem ao memorial. Mantê-los no roteiro cria um documento que não serve para a mesa.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1.4  O princípio que organiza a versão nova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Toda pergunta abaixo foi construída para que qualquer resposta possível favoreça a defesa. Se a testemunha confirma, confirma um fato favorável. Se nega, contradiz documento que ela própria assinou. Se diz que não sabe, demonstra que a autoridade técnica invocada pelo SERPRO não sustenta o que se afirma nos autos.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 há um ponto estratégico que o roteiro anterior não explorava: Felipe é a testemunha cuja oitiva foi requerida e negada no PAD. A audiência é a reparação daquele cerceamento. Cada resposta “não sei” ou “isso não foi juntado” documenta, ao vivo, que a prova negada ao investigado era pertinente — o que retroalimenta a tese de nulidade.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Parte 2 — O que foi eliminado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Nada abaixo é descartado por ser falso; é descartado por ser inutilizável em inquirição, redundante, ou por trabalhar contra a defesa. Vários desses pontos permanecem excelentes — no memorial.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00"/>
      </w:tblGrid>
      <w:tr>
        <w:trPr>
          <w:tblHeader/>
        </w:trPr>
        <w:tc>
          <w:tcPr>
            <w:tcW w:type="dxa" w:w="26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Bloco anterior</w:t>
            </w:r>
          </w:p>
        </w:tc>
        <w:tc>
          <w:tcPr>
            <w:tcW w:type="dxa" w:w="19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Destino</w:t>
            </w:r>
          </w:p>
        </w:tc>
        <w:tc>
          <w:tcPr>
            <w:tcW w:type="dxa" w:w="45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1 (1.1 a 1.6) — apresentação e definições técnicas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Reduzir a duas perguntas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Seis perguntas para estabelecer vocabulário consomem metade do tempo disponível. Definições de Defender, Live Response e log vão no memorial.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1B.1 e 1B.2 — “caça de ameaças” vs. “investigação de tentativa de ataque”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Eliminar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Não são mutuamente excludentes. Caça de ameaças proativa frequentemente é disparada pela investigação de um alerta. A testemunha desfaz isso em uma frase e a defesa perde credibilidade logo no início.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1B.3 e 1B.4 — alerta automático e os quatro passos de validação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Fundir em uma pergunta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“quatro passos” não são norma citável; são construção da defesa. Perguntar por eles convida a testemunha a discordar do critério.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1B.5 a 1B.7 — MDE_Investigation_Package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 — é o núcleo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 o melhor argumento do documento inteiro. Reformulado como P1 e P2.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2 inteiro — “coleta afirmada vs. download impossível”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Eliminar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Baseado em erro de leitura do Item 29 (ver 1.1). Levar isso à audiência é o maior risco do roteiro anterior.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3.1 a 3.4 — rótulo pericial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Reduzir a uma pergunta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Perguntar se análise remota “é ou não perícia” é pedir parecer. Perguntar se houve exame do HD é perguntar fato.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3.5 a 3.7 — inventário, timeline e imagens de fevereiro/2022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 — reformulado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Excelente. Vira P3, P4 e P5.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4 — cadeia de custódia e “arquivos fantasmas”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Reduzir drasticamente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 Anexo I documenta origem de cada artefato, então “fantasma” é forte demais. O que resta, e é sólido: os executáveis do Doc.06 não estão no Anexo I. Vira P5.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5 (5.1 a 5.13) — os 17 logs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Fundir no Bloco 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Treze perguntas para um único ponto. Duas bastam.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5B — imagens de máquina pessoal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 — reformulado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Muito bom, mas Felipe não pode opinar sobre o Roblox nos frames. Reformulado como pergunta sobre padronização de estações: P8.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6 — “a farsa do Doc.06”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Reduzir a uma pergunta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leitura nominal dos 17 arquivos em voz alta é inviável em audiência. Vira requerimento escrito prévio.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7 — arquivo de conexões filtrado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 — reformulado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 “limitado a 10k” é ótimo. Vira P4.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8 — código-fonte sem origem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Eliminar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Premissa incorreta: aplicacoeshospedadas.zip foi coletado da estação em 2022 (Anexo I).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9.1 a 9.3 — “infere-se” vs. “constatou”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 — reformulado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Sólido e documentado. Vira P9, mas sem mencionar a contestação à testemunha.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Bloco 9.6 e 9.7 — AnyDesk tratado em 07/11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MANTER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Vira P13 e P14. Alimenta non bis in idem.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Pergunta final de encerramento</w:t>
            </w:r>
          </w:p>
        </w:tc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Reescrever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versão anterior tem 300 palavras e cita doze folhas. Nenhum juiz permite. Vira P16, em duas linhas.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Parte 3 — Roteiro de inquirição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Dezesseis perguntas, em seis blocos. Ordem pensada para que a testemunha esteja colaborativa nas primeiras e já tenha se comprometido com fatos antes das decisivas. Fórmula de abertura padrão: “Excelência, requer-se seja indagado ao depoente:”.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A — O acervo que existe, tem hash, e nunca foi entregue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570"/>
          <w:sz w:val="19"/>
          <w:szCs w:val="19"/>
        </w:rPr>
        <w:t xml:space="preserve">Este é o coração. Não se alega que faltou investigação: alega-se que a investigação produziu exatamente os arquivos capazes de decidir o caso, calculou o hash de cada um, e não entregou nenhum.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 inventário e sua função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Anexo I da Nota Técnica COTEC/DISEG/RFB nº 78 lista os artefatos coletados no incidente, com o hash SHA-256 e a origem de cada um. Esse Anexo I é o registro oficial e completo do que a DISEG coletou em novembro de 2022?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197/198 e 265/266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Fixa o Anexo I como espelho fiel da coleta. Confirmação esperada e inofensiva — ela é o alicerce de tudo que vem depois.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P2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Os cinco arquivos que respondem à acusação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 os artefatos do Anexo I constam: processos_alexandre.csv, descrito como log de processos executados na estação; imageload_alexandre.csv, log de imagens de arquivos PE carregados; Inventario_de_software_alexandre.csv e software_evidence_alexandre.csv, inventários de software instalado; e o MDE_Investigation_Package, que o próprio Anexo I descreve como pacote que inclui o log de eventos de segurança. Esses cinco arquivos registram quais programas estavam instalados na estação e quais foram efetivamente executados?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197/198 e 265/266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Se confirmar, admite que a prova direta da execução existia e estava nas mãos da RFB. Se negar, contradiz a descrição que a própria DISEG escreveu na coluna do Anexo I. Não há saída.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P3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entrega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senhor pode indicar em qual folha destes autos se encontra o conteúdo bruto e legível de qualquer um desses cinco arquivos?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197/198 e 265/266 — ausência de conteúdo bruto em todos os volumes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A pergunta é fechada e verificável na hora. A resposta será “não sei” ou “não está”. Silêncio de testemunha técnica diante de pergunta objetiva vale mais que qualquer argumento escrito.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P4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truncagem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desses arquivos aparecem no Anexo I com a expressão “limitado a 10k” no próprio nome — conexoes_alexandre, imageload_alexandre e processos_alexandre. Isso significa que a consulta retornou apenas os dez mil primeiros registros e descartou o restante?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197/198 — nomes dos artefatos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Confirmação escancara que o log de processos, base da acusação de execução, foi truncado por critério não documentado. Negação obriga a explicar o que “limitado a 10k” significaria — e não há segunda explicação.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P5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Os executáveis que não estão no inventário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arquivos MSRoletas.exe e ROBO_Position.zip constam do Anexo I entre os artefatos coletados da estação em novembro de 2022?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197/198 e 265/266 (ausência) — fls. 211, item 49, e fls. 361/363 (Doc.06)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Não constam. E o item 49 do Relatório diz que foram “coletados durante a investigação” — dos sites públicos descritos nos itens 41 a 45. Pergunta curta, resposta necessariamente favorável.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B — Onde a máquina estava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P6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 campo em branco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tabela de identificação do dispositivo elaborada pela DISEG, o campo “Endereço IP na RFB” foi preenchido com a palavra “Teletrabalho”. O senhor pode esclarecer ao Juízo por que esse campo não recebeu um endereço IP da rede da Receita Federal?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193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Não há resposta boa. Qualquer explicação confirma que a estação não operava dentro da rede institucional no período — que é o pressuposto de toda a narrativa de risco.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P7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titularidade do IP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endereço 191.54.14.146, indicado como aquele pelo qual o serviço estaria acessível, pertence a bloco de endereçamento da Receita Federal, do SERPRO, ou a operadora comercial de acesso à internet?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É consulta pública de trinta segundos. Se ele confirmar que é comercial, cai a tese de exposição da rede institucional. Se disser que não sabe, o Coordenador-Geral de Segurança admite não ter verificado a origem do único dado concreto da acusação.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P8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padronização das estações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estações de trabalho padronizadas da Receita Federal, no perfil da RF0610400023021, são entregues com unidade de disco identificada como “E:” e permitem instalação de editores de vídeo comerciais pelo usuário?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207/210 — frames com unidade “Alexandre (E:)” e Movavi Video Suite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Ele responderá que não. Isso, dito pelo responsável técnico da RFB, converte os frames usados como prova em prova de que a máquina retratada não era a institucional.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C — Tentativa e consumação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P9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palavra escolhida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relato encaminhado ao SERPRO, o senhor escreveu que “infere-se que o dispositivo RFB estaria sendo utilizado como servidor de testes ou de desenvolvimento”. O senhor confirma que essa foi a formulação empregada e que ela expressa uma dedução a partir de indícios, e não uma constatação direta?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182, item 4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É a própria palavra dele. Confirmada em audiência, permite ao memorial confrontá-la com o §213 da contestação, que a transformou em “constatou”. Não mencione a contestação à testemunha — o contraste é seu, no memorial.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P10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 ataque consumado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Houve, em novembro de 2022, algum acesso não autorizado efetivamente consumado aos sistemas internos da Receita Federal a partir da estação RF0610400023021? E existe registro técnico desse acesso?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182/183 — “tentativas de ataque a esse serviço” e “caso alguma dessas tentativas tivesse obtido êxito”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O próprio texto dele é condicional. A resposta será não. Isso derruba os §§ 212 a 214 da contestação, que afirmam ataques perpetrados contra os sistemas da RFB.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D — O exame que nunca houve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P11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O disco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HD da estação RF0610400023021 foi removido, lacrado e mantido sob custódia do Chefe da Satec/DRF/JFA. Esse disco chegou a ser submetido a exame técnico por perito ou por equipe forense, em qualquer momento, entre novembro de 2022 e hoje?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 e 193 — número de série WL1P9Y08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A resposta é não. Dita pela RFB, encerra a discussão sobre instalação e execução na estação — e reforça que a perícia negada no PAD era indispensável.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P12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custódia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Foi lavrado termo de cadeia de custódia desse disco, registrando data, responsável e cada transferência de guarda?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ausência de qualquer termo de custódia em toda a extensão dos autos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Não existe em 2.597 páginas. A ausência é imputável a quem detinha a guarda — e inviabiliza qualquer perícia futura por causa atribuível à ré.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E — O que já havia sido resolvido antes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P13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comunicação de 07/11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Consta que o Sr. Alexandre foi comunicado em 07/11/2022 sobre o uso indevido do AnyDesk. Essa comunicação foi feita pelos canais regulares de orientação ao usuário, e ele atendeu à orientação?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 e 1233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Estabelece que o único software efetivamente detectado pela gestão de vulnerabilidades foi tratado administrativamente quatro dias antes do incidente formal.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P14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As medidas já aplicadas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Ainda em novembro de 2022 a RFB removeu os privilégios administrativos do Sr. Alexandre, revogou seu certificado digital A3 em 17/11/2022 e substituiu a estação de trabalho. Essas medidas foram integralmente executadas naquele mês?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182/183 e 196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Documenta que a consequência já foi aplicada em novembro de 2022 — três anos antes da demissão. Base fática do non bis in idem e da perda de imediatidade.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Bloco F — O que a RFB nunca entregou ao SERPRO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P15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As normas de segurança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 10/11/2023 a Corregedoria do SERPRO oficiou à Receita Federal solicitando cópia das normas, políticas e procedimentos de segurança aplicáveis — Ofício nº 012552/2023/CORRD/RDINC. A Receita Federal chegou a encaminhar essas normas ao SERPRO?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fls. 222 — o próprio Relatório registra que a solicitação não foi atendida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O SERPRO puniu por descumprimento de normas de segurança da RFB sem jamais ter recebido as normas de segurança da RFB. Pergunta curta, efeito grande, e a resposta já está nos autos.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9B2C22"/>
          <w:sz w:val="25"/>
          <w:szCs w:val="25"/>
        </w:rPr>
        <w:t xml:space="preserve">Encerramento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9B2C22"/>
          <w:sz w:val="23"/>
          <w:szCs w:val="23"/>
        </w:rPr>
        <w:t xml:space="preserve">P16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A pergunta final</w:t>
      </w:r>
    </w:p>
    <w:p>
      <w:pPr>
        <w:pBdr>
          <w:left w:val="single" w:color="9B2C22" w:sz="12" w:space="10"/>
        </w:pBdr>
        <w:spacing w:after="12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Considerando tudo o que o senhor esclareceu: existe, em algum documento juntado a estes autos em forma bruta e verificável, registro de que o Sr. Alexandre executou pessoalmente qualquer software irregular na estação RF0610400023021 em novembro de 2022?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1C4A58"/>
          <w:sz w:val="18"/>
          <w:szCs w:val="18"/>
        </w:rPr>
        <w:t xml:space="preserve">Autos: </w:t>
      </w:r>
      <w:r>
        <w:rPr>
          <w:rFonts w:ascii="Calibri" w:cs="Calibri" w:eastAsia="Calibri" w:hAnsi="Calibri"/>
          <w:color w:val="1C4A58"/>
          <w:sz w:val="18"/>
          <w:szCs w:val="18"/>
        </w:rPr>
        <w:t xml:space="preserve">encerra a sequência dos Blocos A a D</w:t>
      </w:r>
    </w:p>
    <w:p>
      <w:pPr>
        <w:spacing w:after="120"/>
        <w:ind w:left="340"/>
      </w:pPr>
      <w:r>
        <w:rPr>
          <w:rFonts w:ascii="Calibri" w:cs="Calibri" w:eastAsia="Calibri" w:hAnsi="Calibri"/>
          <w:b/>
          <w:bCs/>
          <w:color w:val="5A6570"/>
          <w:sz w:val="18"/>
          <w:szCs w:val="18"/>
        </w:rPr>
        <w:t xml:space="preserve">Por que funciona: </w:t>
      </w:r>
      <w:r>
        <w:rPr>
          <w:rFonts w:ascii="Calibri" w:cs="Calibri" w:eastAsia="Calibri" w:hAnsi="Calibri"/>
          <w:i/>
          <w:iCs/>
          <w:color w:val="5A6570"/>
          <w:sz w:val="18"/>
          <w:szCs w:val="18"/>
        </w:rPr>
        <w:t xml:space="preserve">Duas linhas. Depois de quinze perguntas em que ele confirmou que os arquivos existem, não foram juntados, o disco não foi periciado e não houve ataque consumado, esta é a única pergunta cuja resposta o Juízo já sabe. Faça-a e sente-se.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Parte 4 — O que fazer antes e depois da audiência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Antes — três requerimentos escritos, protocolados com antecedência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inquirição colhe a confirmação de que os arquivos existem e não foram juntados. O requerimento é o que transforma essa confirmação em consequência processual. Protocole antes, para que a resposta da testemunha caia sobre pedido já pendente de apreciação.</w:t>
      </w:r>
    </w:p>
    <w:p>
      <w:pPr>
        <w:spacing w:after="120" w:before="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 Exibição, na forma bruta e integral, dos cinco artefatos do Anexo I identificados na P2, com conferência dos hashes SHA-256 ali registrados, sob as cominações do art. 400 do CPC.</w:t>
      </w:r>
    </w:p>
    <w:p>
      <w:pPr>
        <w:spacing w:after="120" w:before="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 Exibição do arquivo informações de rede alexandre.csv e da versão não truncada de conexoes_alexandre, processos_alexandre e imageload_alexandre.</w:t>
      </w:r>
    </w:p>
    <w:p>
      <w:pPr>
        <w:spacing w:after="120" w:before="0" w:line="276"/>
        <w:ind w:left="3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 Perícia judicial sobre o HD série WL1P9Y08, com pedido subsidiário expresso: caso o disco esteja degradado ou sem cadeia de custódia idônea, que o Juízo consigne que a impossibilidade decorre de conduta da ré. Formular assim impede que “o disco não presta mais” vire vitória do réu.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Depois — onde cada resposta é usada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Resposta obtida</w:t>
            </w:r>
          </w:p>
        </w:tc>
        <w:tc>
          <w:tcPr>
            <w:tcW w:type="dxa" w:w="5000"/>
            <w:shd w:fill="EDF1F4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7"/>
                <w:szCs w:val="17"/>
              </w:rPr>
              <w:t xml:space="preserve">Tese que ela alimenta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cinco artefatos existem e não estão nos autos (P2, P3)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Cerceamento de defesa e art. 400 do CPC. Núcleo do pedido de nulidade do PAD.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Logs truncados em 10 mil registros (P4)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Fragilidade probatória. A base da acusação de execução é um recorte não documentado.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Executáveis fora do inventário, vindos de site público (P5)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Inexistência de materialidade quanto a download e execução na estação.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Campo de IP institucional preenchido com “Teletrabalho” e IP comercial (P6, P7)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Atipicidade: o que se expôs foi a rede doméstica. Derruba os §§ 210 e 211 da contestação.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Estação padrão não tem unidade E: nem editor de vídeo (P8)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frames usados como prova retratam máquina pessoal.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“Infere-se”, e nenhum ataque consumado (P9, P10)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Confronto com os §§ 212 a 214 da contestação, que dizem “constatou” e “ataques perpetrados”. Motivos determinantes.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 perícia e sem cadeia de custódia (P11, P12)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Nulidade por prova imprestável; impossibilidade superveniente imputável à ré.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AnyDesk tratado em 07/11 e sanções aplicadas em novembro/2022 (P13, P14)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 bis in idem e perda de imediatidade. Some-se ao perdão tácito das duas promoções.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RFB nunca entregou as normas (P15)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Atipicidade: punição por norma não identificada nos autos.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Uma observação sobre condução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Fale devagar, não interrompa, e não comemore resposta favorável. Se a testemunha hesitar, não preencha o silêncio — o silêncio dela é seu melhor material, e consta da ata. Se o juiz indeferir alguma pergunta, não insista: registre o indeferimento em ata, porque cada indeferimento sobre matéria já negada no PAD reforça o argumento de que a prova vem sendo sistematicamente obstada.</w:t>
      </w:r>
    </w:p>
    <w:p>
      <w:pPr>
        <w:pBdr>
          <w:bottom w:val="single" w:color="C9D0D8" w:sz="6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570"/>
          <w:sz w:val="17"/>
          <w:szCs w:val="17"/>
        </w:rPr>
        <w:t xml:space="preserve">Documento de trabalho, elaborado a partir da leitura integral dos autos. Não constitui parecer jurídico; destina-se a subsidiar os advogados constituídos.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2026-08-18T20:14:42.588Z</dcterms:created>
  <dcterms:modified xsi:type="dcterms:W3CDTF">2026-08-18T20:14:42.603Z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