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PERGUNTAS ESTRATÉGICAS AO DEPOENTE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SR. ÊNIO ONODERA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Gerente da Divisão de Investigação Correcional — SERPRO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Processo nº 0011652-20.2025.5.03.0037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Versão renumerada — Perguntas-chave destacadas em ouro — Exemplos práticos para o Juízo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1 — OS 65 MINUTOS QUE MUDARAM 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a investigação estava prestes a ser encerrada por falta de provas, que foi reaberta com base num único pacote recebido 65 minutos depois via OneDrive, e que Ênio não verificou nenhum requisito antes de usar esse material como base para o PAD.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Gênese da Acusação e da Quebra do Dever de Diligência. Demonstraremos que a investigação estava encerrada por falta de provas e foi reaberta em apenas 65 minutos, com base em um link de OneDrive de um terceiro estranho aos autos.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Os 65 minutos: fixar o momento da virada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1.1: "Excelência, requer-se seja indagado ao depoente: Em 31 de julho de 2023, às 12h04, o senhor enviou e-mail com assunto 'RE: Ofício nº 004131/2023/CORRD' informando que prosseguiria com o encerramento da investigação por falta de resposta da Receita Federal. O senhor confirma o conteúdo desse e-mail?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Esse e-mail é o documento mais importante para entender o caso: o próprio gerente da Corregedoria — que depois assinou a admissibilidade do PAD — declarou formalmente, por escrito, que a investigação estava sem provas suficientes e seria encerrada. É como um delegado que escreve 'vou arquivar o inquérito' e, no mesmo dia algumas horas depois, denuncia o suspeito. A virada exige explicação documentada.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190 — Relatório de Investigação do SERPRO (SERPROJ UZ202400056A): e-mail de Ênio às 12h04 em 31/07/2023.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como fato incontroverso que a investigação seria encerrada.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1.2: "Excelência, requer-se seja indagado ao depoente: Às 15h09 do mesmo dia — 65 minutos depois — o Sr. Felipe Mendes Moraes respondeu com material referente à Nota Técnica nº 78 e ao arquivo Artefatos.zip. O senhor confirma que foi esse material que motivou a reversão da decisão de encerrar a investigação e deflagrou o PAD?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65 minutos é o tempo de um almoço. Nesse intervalo, sem nenhum ato investigativo novo, a Corregedoria mudou de 'vamos arquivar' para 'temos prova de demissão por justa causa'. A única coisa que mudou nesse intervalo foi um e-mail com arquivos. Esses arquivos, portanto, precisam ter sido verificados com extremo rigor — porque foram literalmente os únicos elementos que reverteram a decisão de arquivamento.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191 — Relatório de Investigação do SERPRO: e-mail de Felipe às 15h09 em 31/07/2023.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os 65 minutos e vincular o material à reversão da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1.3: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Entre o momento em que o senhor decidiu encerrar a investigação e o momento em que recebeu o material do Sr. Felipe, surgiu algum fato novo — além dos arquivos enviados naquele e-mail?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190-191 — Relatório de Investigação do SERPRO.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Fechar a possibilidade de outro elemento motivador.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200" w:lineRule="auto"/>
        <w:rPr>
          <w:b w:val="1"/>
          <w:bCs w:val="1"/>
          <w:color w:val="2e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B — O que Ênio verificou antes de instaurar o 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1.4: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Antes de instaurar o PAD em fevereiro de 2024, o senhor leu pessoalmente o conteúdo da Nota Técnica COTEC/DISEG/RFB nº 78, de 28/11/2022, juntada em Fls. 250-267, reproduzida no Relatório do SERPRO em Fls. 181-198?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Nota Técnica nº 78 original: Fls. 250-267. Reproduzida no Relatório do SERPRO: Fls. 181-198.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a leitura como fato. Se leu, todas as contradições são de sua ciência.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1.5: "Excelência, requer-se seja indagado ao depoente: A Seção 3 do e-mail de Felipe — reproduzida no Relatório do SERPRO em Fls. 183 — afirma que houve 'Coleta de evidências através do Live Response'. O Item 29 da denúncia, Fls. 196-197, e a própria Nota COTEC seção V (Das Proposições), Fls. 263, registram que a DISEG 'não possui função administrativa no MS365 que possibilitasse o download dos logs do Compliance'. O senhor identificou essa contradição antes de instaurar o PAD?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Os dois trechos do mesmo documento dizem coisas opostas: um afirma que houve coleta via Live Response; o outro confessa que a equipe não tinha autorização para fazer a coleta. É como se a polícia escrevesse, no mesmo relatório: 'foram coletadas impressões digitais na cena' e 'a equipe não tinha kit de coleta'. Quem lê o documento inteiro percebe a incompatibilidade imediatamente.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183 (coleta afirmada) vs. Fls. 196-197 (Item 29: download impossível).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 leu e não identificou a contradição, é negligência. Se identificou e prosseguiu, é dolo.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1.6: "Excelência, requer-se seja indagado ao depoente: O Ofício nº 32/2023 da Corregedoria da RFB (Fls. 250), reproduzido no Relatório do SERPRO em Fls. 192, declarou que 'não foram encontrados registros de perícia realizada na estação de trabalho rf0610400023021'. O senhor leu esse ofício antes de instaurar o PAD?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Esse ofício é o documento mais devastador para a tese da acusação: a própria Receita Federal — órgão que supostamente teria realizado a perícia — declarou formalmente que não há registro de perícia. Sem perícia, não há prova técnica do incidente. Esse ofício chegou no mesmo pacote dos arquivos que motivaram a instauração do PAD. Era para ter sido lido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 — Ofício nº 32/2023 da COGER/RFB, de 17/08/2023.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 ofício que negava a perícia acompanhava o mesmo pacote que supostamente provava o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1.7: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senhor verificou, antes de instaurar o PAD, se os hashes dos arquivos recebidos correspondiam aos listados no Anexo I — reproduzido em Fls. 197-198 do Relatório do SERPRO e disponível em Fls. 265-266 da Nota Técnica original?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Hash é a 'impressão digital' do arquivo: um código único que se altera completamente se o arquivo for modificado em uma única letra. Verificar hash é como conferir o número de série da arma com o registro do flagrante. Sem essa conferência, não há como provar que o arquivo apresentado é o mesmo arquivo originalmente coletado — ele pode ter sido editado, substituído ou inserido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197-198 (Anexo I no Relatório do SERPRO) e Fls. 265-266 (NT78 original).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 não verificou os hashes, aceitou a integridade de todos os arquivos sem validação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1.8: "Excelência, requer-se seja indagado ao depoente: Para que o Juízo compreenda: às 12h04 de 31/07/2023, a investigação seria encerrada. Às 15h09, o senhor recebeu material via OneDrive de Gleyson Noronha — arquivos que contêm contradições internas, não têm cadeia de custódia verificável e não têm os 17 logs que fundamentam o incidente. Sem verificar hashes e sem conferir o Ofício que negava a perícia, o senhor instaurou um PAD de 622 dias que culminou na demissão de um empregado com 16 anos de empresa. O senhor pode indicar qual procedimento de verificação foi realizado entre 15h09 e a tomada de decisão de instauração do PAD? A instauração se deu à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pedido de alguém ou a decisão foi exclusiva do Sr.?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190-193 (e-mails e OneDrive — Relatório do SERPRO).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PERGUNTA DE ENCERRAMENTO DO BLOCO. Nenhum procedimento de verificação consta nos autos.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2 — A CO-AUTORIA DO JUÍZO DE ADMISSIBILIDADE E A RESPONSABILIDADE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Ênio co-assinou pessoalmente o documento que determinou haver prova suficiente para demitir, tornando-se coautor de uma decisão fundada em materialidade inválida, com conceitos sem amparo na CLT.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Responsabilidade Pessoal e da Atipicidade da Conduta. O depoente coassinou o documento que determinou a demissão baseando-se em conceitos subjetivos e morais, sem qualquer amparo no rol taxativo do art. 482 da CLT.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A co-autoria e sua 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2.1: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Juízo de Admissibilidade nº 057/2022 — documento que determinou a instauração do PAD — foi co-assinado pelo senhor na qualidade de Gerente da Divisão de Investigação Correcional, Fls. 225. O senhor confirma?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16/66 dos autos — Juízo de Admissibilidade nº 057/2022.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a responsabilidade pessoal pela decisão de instaurar o PAD.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2.2: "Excelência, requer-se seja indagado ao depoente: Ao assinar esse documento, o senhor atestou pessoalmente que havia elementos suficientes de autoria e materialidade para instaurar o PAD e enquadrar a conduta como justa causa. O senhor confirma?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Se SIM, quais eram esses elementos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Co-assinar o Juízo de Admissibilidade não é mero ato administrativo: é atestar pessoalmente — sob sua responsabilidade funcional — que a prova é suficiente para a penalidade máxima. É o equivalente, no Direito Penal, ao Ministério Público ratificar a denúncia. O nome do depoente passa a estar vinculado a cada falha probatória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225 — Juízo de Admissibilidade nº 057/2022.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Vincular o nome e o cargo dele à avaliação de suficiência da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2.3: "Excelência, requer-se seja indagado ao depoente: Considerando o que foi demonstrado na audiência do Sr. Felipe — ausência dos 17 logs, executáveis de site público, HD lacrado sem perícia, ausência de cadeia de custódia — o senhor mantém hoje a avaliação de que havia materialidade suficiente para instauração do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PAD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176 (Juízo de Admissibilidade), Fls. 189/192 (Ofício negando perícia), Fls. 196-197 (HD lacrado) e Fls. 197-198 / Fls. 265-266 (Anexo I sem os executáveis).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Forçar a revisão da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B — A conduta 'moralmente questionável' sem base na CLT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2.4: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item 66 (subitem a) do Juízo de Admissibilidade, Fls. 222-223, caracteriza a conduta do reclamante como 'moralmente questionáveis, podendo afetar a confiança que os clientes e o público tem na organização'. O senhor pode explicar quais elementos probatórios fizeram o senhor concluir por tal assertiva?"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222-223 — Item 66(a) do Juízo de Admissibilidade nº 057/2022.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Forçar a explicação do conceito subjetivo utilizado como fundamento.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2.5: "Excelência, requer-se seja indagado ao depoente: O artigo 482 da CLT lista as hipóteses de demissão por justa causa. O senhor pode indicar em qual alínea específica do artigo 482 a expressão 'moralmente questionável' se enquadra como fundamento jurídico para justa causa?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O art. 482 da CLT é uma lista fechada: para demitir por justa causa, o empregador precisa enquadrar o ato em uma das hipóteses específicas previstas (improbidade, mau procedimento, etc.). 'Moralmente questionável' não está em nenhuma alínea — é um juízo de valor, não uma figura jurídica. É como demitir alguém por 'comportamento estranho': inexiste no texto legal.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222-223 — Item 66(a) do Juízo de Admissibilidade.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'Moralmente questionável' não existe no rol taxativo da CLT.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2.6: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senhor reconhece que utilizar 'moralmente questionável' como fundamento de demissão por justa causa introduz juízo de valor subjetivo num ato que exige fundamentação objetiva e legal?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222-223 — Item 66(a) do Juízo de Admissibilidade.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Subjetividade não fundamenta a penalidade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C — O conflito de interesses baseado no MEI da esposa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2.7: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item 66 (subitem c) do Juízo de Admissibilidade, Fls. 223, fundamenta o conflito de interesses na identificação do CPF da esposa do reclamante no registro de um MEI com atividades conflitantes. O senhor confirma?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223 — Item 66(c) do Juízo de Admissibilidade.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o fundamento exato usado para o conflito de interesses.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2.8: "Excelência, requer-se seja indagado ao depoente: A esposa do reclamante é empregada do SERPRO?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A esposa não é empregada do SERPRO. O CNAE do MEI dela — 8599-6/03 (Treinamento em informática) — não tem relação com apostas. Acusar o Reclamante porque sua esposa abriu um MEI é como demitir um funcionário público porque o cônjuge tem CNPJ. A norma de conflito de interesses se aplica AO EMPREGADO do SERPRO — não aos familiares. A liberdade de iniciativa do cônjuge é direito constitucional autônomo.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223 — Item 66(c): menciona apenas 'CPF de sua esposa no registro de MEI'. Fls. 390 — CNAE 8599-6/03.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esposa não é parte do contrato de trabalho do SERPRO.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2.9: "Excelência, requer-se seja indagado ao depoente: A função do reclamante era Técnico em Operação de Redes — sem poder de decisão sobre contratos ou concessões. O senhor pode indicar qual dispositivo normativo estabelece que a atividade empresarial da esposa de um técnico em redes sem poder decisório configura conflito de interesses?"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Conflito de interesses exige interface entre a função pública e a atividade privada. Técnico em Operação de Redes cuida de cabeamento, servidores, hardware — não decide contratos, não concede licitações. Sem poder decisório, não há nada que possa ser 'influenciado' pela atividade externa. O conflito é impossível pela natureza do 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223 — Item 66(c) do Juízo de Admissibilidade.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Sem poder decisório, não há base material para conflito de interesses.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2.10: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senhor verificou, antes de incluir o MEI da esposa como fundamento do conflito, se o contrato de trabalho do reclamante continha cláusula de exclusividade que vedaria atividades relacionadas a familiares?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550/552 — Juízo de Admissibilidade nº 057/2022.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Sem cláusula de exclusividade, a atividade do cônjuge é direito constitucional.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3 — O HD LACRADO E A IMPOSSIBILIDADE FÍSICA DA EXTRAÇÃO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Ênio sabia ou deveria saber que o HD estava lacrado e que nenhuma perícia foi realizada — tornando fisicamente impossível a extração dos executáveis que aceitou como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Impossibilidade Física da Prova. O depoente aceitou como evidências arquivos que seriam fisicamente impossíveis de extrair da estação de trabalho, uma vez que o HD permanecia lacrado e a própria Receita Federal negou a realização de qualquer perícia.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O lacre como impossibilidade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3.1: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Ofício nº 32/2023 da Corregedoria da RFB, registrado em Fls. 192 do Relatório do SERPRO, declarou formalmente que 'não foram encontrados registros de perícia realizada na estação de trabalho rf0610400023021'. O senhor confirma ter recebido e lido esse documento antes de instaurar o PAD?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 — Ofício nº 32/2023 da COGER/RFB, de 17/08/2023.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o conhecimento documentado do ofício negando perícia.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3.2: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Item 29 do Relatório do SERPRO — Fls. 196-197 — cita o Item V (Das Proposições) da Nota Técnica nº 78, registrando que a DISEG 'não possui função administrativa no MS365 que possibilitasse o download dos logs', propondo o lacre do HD sob custódia. O senhor confirma esse registro?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196-197 — Relatório do SERPRO, Item 29: HD lacrado, sem acesso para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o lacre como fato documentado.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3.3: "Excelência, requer-se seja indagado ao depoente: Para extrair arquivos do interior de um HD lacrado é necessário romper o lacre e realizar perícia forense com espelhamento do disco. Sem esse procedimento, é tecnicamente impossível obter arquivos de dentro do HD. O senhor confirma isso?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HD lacrado é como um cofre selado pela polícia na cena do crime: ninguém pode tirar nada de dentro sem que: (1) um perito autorizado rompa formalmente o lacre; (2) faça um auto registrando data, hora e quem rompeu; (3) extraia o conteúdo na presença de testemunhas. Se o lacre não foi rompido — e não foi, conforme declaração da RFB — então NADA pôde tecnicamente sair de dentro do HD. Os arquivos apresentados como 'extraídos' não vieram de lá: vieram de outro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 (sem perícia) e Fls. 196-197 (HD lacrado).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Estabelecer a impossibilidade física pela boca do próprio gestor.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3.4: "Excelência, requer-se seja indagado ao depoente: Se o HD está lacrado conforme Fls. 196-197 e não houve perícia conforme Fls. 192, o senhor pode explicar por qual meio físico os arquivos MSRoletas.exe, CoreServer.exe e ROBO_Position.zip — presentes no Doc.06 rotulados como 'artefatos coletados durante a investigação' — teriam sido extraídos da máquina para serem entregues ao SERPRO?"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 (sem perícia), Fls. 196-197 (HD lacrado) e Fls. 212 (Item 49: MSRoletas.exe 'coletado durante a investigação').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pergunta não tem resposta técnica possível — é o paradoxo central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B — A aceitação de prova sem verificação de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3.5: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Os arquivos MSRoletas.exe e ROBO_Position.zip foram inseridos nos autos em 18/03/2024 via link do Serpro Drive, conforme Fls. 192-193, sem ofício de remessa formal, sem auto de extração e sem registro de rompimento do lacre. O senhor confirma que aceitou esses arquivos sem nenhuma dessas garantias?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Receber prova via link de nuvem (OneDrive/Google Drive), sem ofício de remessa, sem auto de extração e sem registro de quem coletou, equivale a aceitar como prova uma sacola entregue por um desconhecido na porta da delegacia: pode até conter algo verdadeiro, mas não tem nenhuma garantia processual de origem ou integridade.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192-193 — Termo de Juntada via Serpro Drive em 18/03/2024.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que a aceitação foi sem verificação de nenhum critério básico de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3.6: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Existe algum documento nos autos que registre qual procedimento de verificação que o senhor ou a Corregedoria realizaram para confirmar que esses arquivos foram extraídos da máquina em 2022 e não inseridos com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2"/>
          <w:szCs w:val="22"/>
          <w:rtl w:val="0"/>
        </w:rPr>
        <w:t xml:space="preserve"> arquivos sem las</w:t>
      </w:r>
      <w:r w:rsidDel="00000000" w:rsidR="00000000" w:rsidRPr="00000000">
        <w:rPr>
          <w:rtl w:val="0"/>
        </w:rPr>
        <w:t xml:space="preserve">tro </w:t>
      </w:r>
      <w:r w:rsidDel="00000000" w:rsidR="00000000" w:rsidRPr="00000000">
        <w:rPr>
          <w:sz w:val="22"/>
          <w:szCs w:val="22"/>
          <w:rtl w:val="0"/>
        </w:rPr>
        <w:t xml:space="preserve">posteriormente?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192-193 — ausência de qualquer termo de verificação de integridade.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 não há documento, a aceitação foi cega.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3.7: "Excelência, requer-se seja indagado ao depoente: Tendo ciência de que o HD estava lacrado — Fls. 196-197 — de que não houve perícia — Fls. 192 — e de que os arquivos chegaram via OneDrive de Gleyson Noronha — Fls. 192-193 — o senhor admite que a Corregedoria utilizou evidências cuja autenticidade não pode ser tecnicamente verificada?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192, Fls. 192-193 e Fls. 196-197.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Esta é a pergunta central do bloco.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3.8: "Excelência, requer-se seja indagado ao depoente: O senhor recebeu documentos que declaravam que não havia perícia e que o HD estava lacrado. Recebeu os arquivos via OneDrive de Gleyson Noronha sem ofício de remessa formal. E mesmo assim atestou, no Juízo de Admissibilidade que co-assinou, que havia materialidade suficiente para a penalidade máxima. Como o senhor explica que esses fatos são compatíveis com as normas e regimentos do Serpro?"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192, Fls. 196-197 e Fls. 16/66.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PERGUNTA DE ENCERRAMENTO. Não são compatíveis — e a impossibilidade de explicar é o argumento.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4 — A PROVA TÉCNICA DISPONÍVEL QUE ÊNIO NÃO EXIGIU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existiam provas técnicas auditáveis listadas nos 17 artefatos que provariam ou refutariam definitivamente o incidente — e que Ênio não as exigiu.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Omissão de Provas Técnicas Auditáveis. O depoente possuía uma lista de 17 artefatos que continham as provas definitivas sobre a instalação e execução de softwares. No entanto, aceitou que esses dados brutos fossem sonegados, substituindo-os por vídeos de sites públicos e prints de máquinas pessoais com jogos infantis.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A prova técnica disponível e não exigida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4.1: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Microsoft Defender for Endpoint gera automaticamente dois documentos técnicos fundamentais: o Inventário de Software e a Timeline de Execução. Ambos constam na lista de 17 artefatos do Anexo I — Fls. 197-198 do Relatório do SERPRO e Fls. 265-266 da NT78. O senhor confirma isso?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Inventário de Software é como o livro de registro de entrada de um condomínio: lista todos os programas instalados na máquina, com data e usuário. Timeline de Execução é como o gravador de imagens da portaria: mostra exatamente qual programa rodou, quem executou, em qual horário. Sem esses dois documentos, qualquer afirmação sobre 'o que estava instalado' e 'quem executou' é especulação.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197-198 (Inventario_de_software_alexandre.csv e software_evidence_alexandre.csv) e Fls. 265-266.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que as provas técnicas definitivas existiam, estavam listadas e eram do conhecimento de quem analisou 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4.2: "Excelência, requer-se seja indagado ao depoente: Esses dois documentos seriam os únicos capazes de confirmar, de forma auditável, se programas como MSRoletas.exe estavam instalados e foram executados pelo reclamante. O senhor verificou, antes de instaurar o PAD, se a RFB disponibilizou os arquivos em forma bruta para permitir contraperícia e, se não disponibilizou, por qual razão esses documentos não foram juntados?"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197-198 e Fls. 265-266: conteúdo bruto ausente dos autos.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 não verificou, instaurou o PAD sabendo que a prova técnica auditável estava ausente.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>
          <w:b w:val="1"/>
          <w:bCs w:val="1"/>
          <w:color w:val="8b6914"/>
          <w:sz w:val="22"/>
          <w:szCs w:val="22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4.3: "Excelência, requer-se seja indagado ao depoente: O vídeo '1_habilitacao.mp4' utilizado como prova foi gravado em 16/02/2022 — oito meses antes do incidente — às 18h49, fora do expediente, baixado do site público mestredasroletas.com.br durante a investigação. O senhor verificou esses dados antes de aceitar o vídeo como prova? </w:t>
      </w:r>
    </w:p>
    <w:p w:rsidR="00000000" w:rsidDel="00000000" w:rsidP="00000000" w:rsidRDefault="00000000" w:rsidRPr="00000000" w14:paraId="0000007E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Poderia nos explicar por qual razão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chegou a convicção de que o vídeo representava prova idônea para instauração do PAD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Um vídeo de fevereiro não pode provar um fato de novembro — como uma foto de janeiro não pode comprovar um acidente de setembro. Além disso, vídeo baixado de site público está acessível a qualquer pessoa: não é prova de que esteve na máquina específica do Reclamante. E foi gravado às 18h49 — fora do expediente. Três incompatibilidades cumuladas em um único elemento de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222-223 — Item 66 citando 'vídeos instrutivos'.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Um vídeo anacrônico, fora do expediente e de site público não pode provar fato em máquina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4.4: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Os prints de tela utilizados como prova mostram ícones de Roblox — jogo infantil — e unidade de disco 'E:', incompatíveis com estações padronizadas da RFB. O senhor verificou se esses prints eram de máquina pessoal antes de utilizá-los como prova?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Roblox é jogo voltado a crianças. Estação de trabalho da Receita Federal — que processa dados fiscais sigilosos de todos os contribuintes — não tem Roblox instalado. A presença desse ícone num print já basta visualmente para indicar que se trata de máquina doméstica, provavelmente usada pelos filhos do servidor. Aceitar isso como prova institucional sem verificação é negligência grosseira.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222-223 — Item 66 citando 'imagens obtidas por captura de tela'.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resposta será 'não' — confirmando que as imagens são de máquina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4.5: "Excelência, requer-se seja indagado ao depoente: Para que o Juízo compreenda: Inventário de Software e Timeline de Execução — Fls. 197-198 e Fls. 265-266 — não estão nos autos em forma bruta. Em substituição foram aceitos: um vídeo de fevereiro de 2022 de site público, prints de máquina pessoal e executáveis sem origem documentada. O senhor pode indicar qual elemento provaria, de forma técnica e verificável, que o reclamante utilizou o equipamento institucional para fins alheios à sua função?"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197-198 e Fls. 265-266 (ausência dos documentos técnicos auditáveis). Fls. 222-223 (evidências aceitas).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PERGUNTA DE ENCERRAMENTO. A impossibilidade de resposta confirma que não havia prova auditável.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5 — A CONTRADIÇÃO CORPORATIVA: AMEAÇA CIBERNÉTICA COM PROMOÇÃO E PRIVILÉGIOS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o comportamento do SERPRO — transferência para a PGFN e duas promoções durante o PAD — contradiz a narrativa de ameaça cibernética e configura perdão tácito.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Incoerência Comportamental e do Perdão Tácito. O próprio SERPRO, por meio de atos administrativos concretos e deliberados, desmentiu a sua narrativa de 'ameaça cibernética'. Enquanto a Corregedoria investigava o Reclamante por falta grave, a empresa o transferia para um órgão de dados fiscais sigilosos (PGFN) e o premiava com duas promoções — sendo uma por mérito, que exige atestado formal de conduta ética exemplar.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A transferência para a PGFN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5.1: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Em 12/06/2023, via e-mail Fls. 34 — sete meses após o suposto incidente — o reclamante foi transferido oficialmente para a PGFN em Juiz de Fora. O senhor confirma essa transferência e pode nos explicar em quais circunstâncias ela se deu (se foi em caráter punitivo, ou foi à pedido de alguém)?"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34 — transferência para a PGFN em 12/06/2023.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a transferência e suas circunstâncias.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5.2: "Excelência, requer-se seja indagado ao depoente: A PGFN lida com dados fiscais sigilosos. Conceder ou manter acesso de rede a um funcionário classificado como ameaça cibernética nesse ambiente — o senhor reconhece que essa decisão seria incompatível com a narrativa de risco apresentada neste Juízo?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Imagine que um banco investiga um funcionário por suposto desvio de dinheiro. Seria razoável, durante a investigação, transferi-lo do balcão para o cofre principal? Obviamente não. O comportamento do SERPRO — transferir o Reclamante para o órgão que processa dados fiscais MAIS SIGILOSOS do país durante a investigação — é incompatível com a narrativa de ameaça. Ou o SERPRO não acreditava na ameaça, ou agiu de forma inacreditavelmente irresponsável.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34 — transferência para a PGFN.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Nenhuma organização que classifica alguém como ameaça cibernética o transfere para ambiente de dados mais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B — As duas promoções durante o 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5.3: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senhor confirma que o reclamante foi promovido por tempo de serviço, Edital nº 03 de 16/08/2024, Fls. 902-903 — durante o PAD em pleno andamento? </w:t>
      </w:r>
      <w:r w:rsidDel="00000000" w:rsidR="00000000" w:rsidRPr="00000000">
        <w:rPr>
          <w:rtl w:val="0"/>
        </w:rPr>
        <w:t xml:space="preserve">Confirma também que foi</w:t>
      </w:r>
      <w:r w:rsidDel="00000000" w:rsidR="00000000" w:rsidRPr="00000000">
        <w:rPr>
          <w:sz w:val="22"/>
          <w:szCs w:val="22"/>
          <w:rtl w:val="0"/>
        </w:rPr>
        <w:t xml:space="preserve"> promovido por mérito, Edital nº 03 de 16/04/2025, Fls. 811-812 — também durante o PAD — com período avaliativo de julho de 2024 a fevereiro de 2025?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902-903 (Promoção por Tempo de Serviço) e Fls. 811-812 (Promoção por Mérito).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as duas promoções durante o PAD.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5.4: "Excelência, requer-se seja indagado ao depoente: O Edital da Promoção por Mérito de 2025 exige diversos requisitos, dentre os quais que o funcionário não tenha censura ética vigente, não esteja sendo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investigado e ou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tenha recebido penalidade durante o período avaliativo. Ao promover o reclamante por mérito com período avaliativo durante o PAD, o SERPRO atestou formalmente ausência dos requisitos impeditivos. O senhor reconhece que essa promoção contradiz diretamente a acusação de ato de improbidade?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Promoção por mérito não é automática. Exige verificação formal: ausência de censura ética vigente, ausência de penalidade no período avaliativo, avaliação positiva individual do gestor. Quando o SERPRO promoveu o Reclamante por mérito em abril de 2025, atestou formalmente que cumpria todos esses requisitos — incluindo conduta ética compatível. Promover por mérito quem está sob acusação de improbidade é contradição lógica direta: a empresa não pode dizer 'ele é eticamente exemplar para ser promovido' e 'ele cometeu improbidade' no mesmo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809 — requisitos da Promoção por Mérito: 'd) Não ter recebido penalidade durante o período avaliativo; e) Não ter penalidade de censura ética vigente em 01/03/2025'.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contradição entre os critérios da promoção e a acusação é irreconciliável.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5.5: "Excelência, requer-se seja indagado ao depoente: São três decisões formais e documentadas da própria empresa que contradizem a narrativa de ameaça cibernética: a transferência para a PGFN — Fls. 34; a promoção por tempo de serviço — Fls. 2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8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; e a promoção por mérito — Fls. 29-30. O senhor pode indicar qual dessas três decisões é compatível com a classificação do reclamante como autor ou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propiciador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de ataque cibernético ou se elas contradizem a denúncia? Diante das constatações até aqui apresentadas, poderia o fato ser enquadrado como de menor potencial ofensivo?"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34 (transferência PGFN), Fls. 29 (Promoção por Tempo de Serviço) e Fls. 29-30 (Promoção por Mérito).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PERGUNTA DE ENCERRAMENTO. Esta pergunta não tem resposta. Qualquer tentativa aprofundará a contradição.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BLOCO 6 — O TAC NUNCA CONSIDERADO: A AUSÊNCIA DE PROPORCIONALIDADE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 do Bloco: </w:t>
      </w:r>
      <w:r w:rsidDel="00000000" w:rsidR="00000000" w:rsidRPr="00000000">
        <w:rPr>
          <w:sz w:val="22"/>
          <w:szCs w:val="22"/>
          <w:rtl w:val="0"/>
        </w:rPr>
        <w:t xml:space="preserve">Demonstrar que a Norma TR-02 prevê o TAC para infrações de menor potencial ofensivo, que o reclamante preenchia todos os critérios, e que Ênio foi direto para a penalidade máxima sem considerar nenhuma alternativa proporcional.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Excelência, este bloco trata da Violação ao Princípio da Proporcionalidade e da Inobservância de Normas Internas. O depoente, ao coassinar o Juízo de Admissibilidade, ignorou deliberadamente a existência do Termo de Ajustamento de Conduta (TAC), previsto na Norma TR-02 do SERPRO para infrações de menor potencial ofensivo.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e5496"/>
          <w:sz w:val="24"/>
          <w:szCs w:val="24"/>
          <w:rtl w:val="0"/>
        </w:rPr>
        <w:t xml:space="preserve">SUB-BLOCO A — O TAC como instrumento proporcional disponível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6.1: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A Norma TR-02 do SERPRO, item 4.2, Fls. 83, prevê o Termo de Ajustamento de Conduta para 'resolução consensual de conflitos em situações de menor potencial ofensivo'. O senhor confirma a existência desse instrumento?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e8f1fa" w:val="clear"/>
        <w:spacing w:after="80" w:lineRule="auto"/>
        <w:jc w:val="both"/>
        <w:rPr/>
      </w:pP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💡 Para compreensão do Juízo: </w:t>
      </w:r>
      <w:r w:rsidDel="00000000" w:rsidR="00000000" w:rsidRPr="00000000">
        <w:rPr>
          <w:i w:val="1"/>
          <w:iCs w:val="1"/>
          <w:color w:val="0070c0"/>
          <w:sz w:val="20"/>
          <w:szCs w:val="20"/>
          <w:rtl w:val="0"/>
        </w:rPr>
        <w:t xml:space="preserve">O TAC funciona como o Termo de Ajustamento de Conduta civil ou os acordos do Direito Penal (transação penal): permite que a empresa, em vez de aplicar a pena máxima, faça um compromisso com o empregado para corrigir a conduta. É instrumento legal e previsto na norma do próprio SERPRO. Pular essa etapa para ir direto à demissão é como o promotor pedir prisão preventiva quando cabia advertência.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83-84 — Norma TR-02, item 4.2.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que o TAC existe, estava disponível e é norma da própria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6.2: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A Norma TR-02, item 4.2.5, estabelece que o TAC somente deve ser celebrado quando o empregado não tenha punição vigente nem TAC nos últimos dois anos. O reclamante, sem histórico disciplinar anterior, preenchia esses critérios. O senhor confirma?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83-84 — Norma TR-02, item 4.2.5.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Fixar que o reclamante era elegível ao TAC.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6.3: "Excelência, requer-se seja indagado ao depoente: A conduta comprovada — ausência de consulta ao SeCI antes de desenvolver atividade privada — é falha procedimental sem dano material demonstrado. Essa conduta se enquadra na categoria de 'menor potencial ofensivo' da Norma TR-02?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83-84 (Norma TR-02) e Fls. 29-30 (promoção por mérito atestando ausência de dano).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Forçar o reconhecimento de que a conduta comprovada era de menor gravidade.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6.4: "Excelência, requer-se seja indagado ao depoente: O senhor pode indicar nos autos qualquer documento que demonstre que a Corregedoria avaliou a possibilidade de celebrar um TAC antes de instaurar o PAD com enquadramento em demissão por justa causa?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83-84 (TR-02) e Fls. 16/66 (Juízo de Admissibilidade).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 não há documento, o TAC nunca foi considerado — violação da norma interna.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Pergunta 6.5: </w:t>
      </w:r>
      <w:r w:rsidDel="00000000" w:rsidR="00000000" w:rsidRPr="00000000">
        <w:rPr>
          <w:sz w:val="22"/>
          <w:szCs w:val="22"/>
          <w:rtl w:val="0"/>
        </w:rPr>
        <w:t xml:space="preserve">"Excelência, requer-se seja indagado ao depoente: O reclamante trabalhou no SERPRO por 16 anos, nunca recebeu penalidade disciplinar e foi promovido por mérito durante o PAD. O senhor considerou esses fatores ao co-assinar o Juízo de Admissibilidade que enquadrou a conduta diretamente como demissão por justa causa? Sim ou Não?"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16/66 (Juízo de Admissibilidade) e Fls. 29-30 (promoção por mérito).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16 anos sem penalidade + promoção por mérito + sem dano = inadequação da pena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6.6: "Excelência, requer-se seja indagado ao depoente: O senhor co-assinou o documento que determinou haver prova suficiente para a penalidade máxima — prova que esta audiência demonstrou ser tecnicamente inválida. Utilizou como fundamento 'moralmente questionável', sem enquadramento na CLT. Baseou o conflito no MEI da esposa, que não é empregada do SERPRO. E nunca avaliou o TAC. O senhor pode explicar qual foi o critério objetivo — não moral, não presumido — que justificou ir diretamente para a penalidade máxima?"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Fls. 83-84 (TAC), Fls. 222-223 (fundamentos do JdA) e Fls. 29-30 (promoção por mérito).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PERGUNTA DE ENCERRAMENTO. A impossibilidade de resposta consolida a ausência de proporcionalidade.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200" w:before="3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PERGUNTA DE ENCERRAMENTO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Esta pergunta acumula tudo que foi demonstrado nos seis blocos. É o desfecho do depoimento de Ênio.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8b6914" w:space="4" w:sz="24" w:val="single"/>
        </w:pBdr>
        <w:shd w:fill="fff4d6" w:val="clear"/>
        <w:spacing w:after="80" w:before="24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8b6914"/>
          <w:sz w:val="22"/>
          <w:szCs w:val="22"/>
          <w:rtl w:val="0"/>
        </w:rPr>
        <w:t xml:space="preserve">⭐ PERGUNTA-CHAVE FINAL: "Excelência, requer-se seja indagado ao depoente: Para que o Juízo compreenda a extensão do que foi demonstrado: às 12h04 de 31/07/2023 (Fls. 190), a investigação seria encerrada. Às 15h09 (Fls. 191), o senhor recebeu arquivos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através do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OneDrive de Gleyson Noronha (Fls. 192-193) — sem verificar hashes, sem questionar a origem e ignorando o Ofício nº 32/2023 (Fls. 192) que negava a perícia. Co-assinou o Juízo de Admissibilidade (Fls. 176/226) atestando materialidade baseada em prova que: não tem os 17 logs — Fls. 197-198 e Fls. 265-266; contém executáveis sem origem documentada — Fls. 212; foi gerada com HD lacrado e sem perícia — Fls. 192 e Fls. 196-197. Usou o term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o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'moralmente questionável' sem amparo na CLT (Fls. 222-223) para embasar a instauração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o PAD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. Baseou o conflito no MEI da esposa (Fls. 223). Nunca avaliou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a possibilidade de um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 TAC (Fls. 83-84). E durante os 622 dias do PAD, a própria empresa transferiu o reclamante para órgão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que cuida de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dados sigilosos (Fls. 34) e o promoveu duas vezes, sendo uma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delas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 por mérito (Fls. 29-30). O senhor pode agora, após analisados os elementos </w:t>
      </w:r>
      <w:r w:rsidDel="00000000" w:rsidR="00000000" w:rsidRPr="00000000">
        <w:rPr>
          <w:b w:val="1"/>
          <w:bCs w:val="1"/>
          <w:color w:val="8b6914"/>
          <w:rtl w:val="0"/>
        </w:rPr>
        <w:t xml:space="preserve">acima </w:t>
      </w:r>
      <w:r w:rsidDel="00000000" w:rsidR="00000000" w:rsidRPr="00000000">
        <w:rPr>
          <w:b w:val="1"/>
          <w:bCs w:val="1"/>
          <w:color w:val="8b6914"/>
          <w:sz w:val="22"/>
          <w:szCs w:val="22"/>
          <w:rtl w:val="0"/>
        </w:rPr>
        <w:t xml:space="preserve">apresentados, afirmar e justificar se o Juízo de Admissibilidade do PAD realmente foi acertado e indicar ao Juízo qual elemento de todo esse processo foi tomado com o cuidado necessário que a demissão de um ser humano com 16 anos de empresa exige?"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Referência nos autos: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Síntese de todos os seis blocos.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lineRule="auto"/>
        <w:jc w:val="both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📌 Finalidade: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0"/>
          <w:szCs w:val="20"/>
          <w:rtl w:val="0"/>
        </w:rPr>
        <w:t xml:space="preserve">⭐ PERGUNTA-CHAVE DEFINITIVA. O silêncio é a confissão de que nenhum cuidado foi tomado.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