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76B5" w14:textId="5C38C1DB" w:rsidR="00A1139B" w:rsidRPr="000C1688" w:rsidRDefault="00A1139B" w:rsidP="00A024ED">
      <w:pPr>
        <w:pStyle w:val="Title"/>
        <w:rPr>
          <w:rFonts w:cs="Times New Roman"/>
          <w:lang w:val="en-US"/>
        </w:rPr>
      </w:pPr>
      <w:r w:rsidRPr="000C1688">
        <w:rPr>
          <w:rFonts w:cs="Times New Roman"/>
          <w:lang w:val="en-US"/>
        </w:rPr>
        <w:t>Slum recognition effects on urban informal expansion:</w:t>
      </w:r>
    </w:p>
    <w:p w14:paraId="2BD3EF59" w14:textId="77777777" w:rsidR="00A1139B" w:rsidRPr="000C1688" w:rsidRDefault="00A1139B" w:rsidP="00A024ED">
      <w:pPr>
        <w:pStyle w:val="Subtitle"/>
        <w:rPr>
          <w:rFonts w:cs="Times New Roman"/>
          <w:lang w:val="en-US"/>
        </w:rPr>
      </w:pPr>
      <w:r w:rsidRPr="000C1688">
        <w:rPr>
          <w:rFonts w:cs="Times New Roman"/>
          <w:lang w:val="en-US"/>
        </w:rPr>
        <w:t>An impact evaluation of the Neighborhood Legalization program in Bogotá, Colombia</w:t>
      </w:r>
    </w:p>
    <w:p w14:paraId="3A33ED5D" w14:textId="5BC4F343" w:rsidR="00A1139B" w:rsidRPr="000C1688" w:rsidRDefault="00A1139B" w:rsidP="00A024ED">
      <w:pPr>
        <w:spacing w:line="360" w:lineRule="auto"/>
        <w:jc w:val="center"/>
        <w:rPr>
          <w:rFonts w:ascii="Times New Roman" w:hAnsi="Times New Roman" w:cs="Times New Roman"/>
          <w:sz w:val="24"/>
          <w:szCs w:val="24"/>
          <w:lang w:val="es-ES"/>
        </w:rPr>
      </w:pPr>
      <w:r w:rsidRPr="000C1688">
        <w:rPr>
          <w:rFonts w:ascii="Times New Roman" w:hAnsi="Times New Roman" w:cs="Times New Roman"/>
          <w:sz w:val="24"/>
          <w:szCs w:val="24"/>
          <w:lang w:val="es-ES"/>
        </w:rPr>
        <w:t>Guibor Camargo</w:t>
      </w:r>
      <w:r w:rsidR="00D059E3" w:rsidRPr="000C1688">
        <w:rPr>
          <w:rFonts w:ascii="Times New Roman" w:hAnsi="Times New Roman" w:cs="Times New Roman"/>
          <w:sz w:val="24"/>
          <w:szCs w:val="24"/>
          <w:lang w:val="es-ES"/>
        </w:rPr>
        <w:t xml:space="preserve"> </w:t>
      </w:r>
    </w:p>
    <w:p w14:paraId="2DB53FA3" w14:textId="17E96F85" w:rsidR="00D059E3" w:rsidRPr="000C1688" w:rsidRDefault="00D059E3" w:rsidP="00A024ED">
      <w:pPr>
        <w:spacing w:line="360" w:lineRule="auto"/>
        <w:jc w:val="center"/>
        <w:rPr>
          <w:rFonts w:ascii="Times New Roman" w:hAnsi="Times New Roman" w:cs="Times New Roman"/>
          <w:sz w:val="24"/>
          <w:szCs w:val="24"/>
          <w:lang w:val="es-ES"/>
        </w:rPr>
      </w:pPr>
      <w:r w:rsidRPr="000C1688">
        <w:rPr>
          <w:rFonts w:ascii="Times New Roman" w:hAnsi="Times New Roman" w:cs="Times New Roman"/>
          <w:sz w:val="24"/>
          <w:szCs w:val="24"/>
          <w:lang w:val="es-ES"/>
        </w:rPr>
        <w:t>Borrador en español</w:t>
      </w:r>
    </w:p>
    <w:p w14:paraId="229D6D67" w14:textId="1FF01723" w:rsidR="00A1139B" w:rsidRPr="000C1688" w:rsidRDefault="00A1139B" w:rsidP="00A024ED">
      <w:pPr>
        <w:pStyle w:val="Heading1"/>
        <w:rPr>
          <w:rFonts w:cs="Times New Roman"/>
          <w:lang w:val="es-ES"/>
        </w:rPr>
      </w:pPr>
      <w:r w:rsidRPr="000C1688">
        <w:rPr>
          <w:rFonts w:cs="Times New Roman"/>
          <w:lang w:val="es-ES"/>
        </w:rPr>
        <w:t>Resumen:</w:t>
      </w:r>
    </w:p>
    <w:p w14:paraId="79D7B531" w14:textId="634F0512" w:rsidR="00A1139B" w:rsidRPr="000C1688" w:rsidRDefault="00A1139B" w:rsidP="00A024ED">
      <w:pPr>
        <w:spacing w:line="360" w:lineRule="auto"/>
        <w:jc w:val="both"/>
        <w:rPr>
          <w:rFonts w:ascii="Times New Roman" w:hAnsi="Times New Roman" w:cs="Times New Roman"/>
          <w:sz w:val="24"/>
          <w:szCs w:val="24"/>
          <w:lang w:val="es-ES"/>
        </w:rPr>
      </w:pPr>
    </w:p>
    <w:p w14:paraId="69826F82" w14:textId="77777777" w:rsidR="00A1139B" w:rsidRPr="000C1688" w:rsidRDefault="00A1139B" w:rsidP="00A024ED">
      <w:pPr>
        <w:spacing w:line="360" w:lineRule="auto"/>
        <w:jc w:val="both"/>
        <w:rPr>
          <w:rFonts w:ascii="Times New Roman" w:hAnsi="Times New Roman" w:cs="Times New Roman"/>
          <w:sz w:val="24"/>
          <w:szCs w:val="24"/>
          <w:lang w:val="es-ES"/>
        </w:rPr>
      </w:pPr>
    </w:p>
    <w:p w14:paraId="73BCD659"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4C6B838A"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0C1DF88F"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30E994B7"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34B72C47"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61D115CC"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457FDE87"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7B256E5F"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62D67081"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37FC8E17"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34A369C8"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21EF345E"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79149758"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4353F4A1"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59006AB2"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1A26DA0A" w14:textId="7CDEF854" w:rsidR="00A024ED" w:rsidRPr="000C1688" w:rsidRDefault="00A1139B" w:rsidP="00A024ED">
      <w:pPr>
        <w:pStyle w:val="Heading1"/>
        <w:rPr>
          <w:rFonts w:cs="Times New Roman"/>
          <w:lang w:val="es-ES"/>
        </w:rPr>
      </w:pPr>
      <w:r w:rsidRPr="000C1688">
        <w:rPr>
          <w:rFonts w:cs="Times New Roman"/>
          <w:lang w:val="es-ES"/>
        </w:rPr>
        <w:lastRenderedPageBreak/>
        <w:t>Introducción</w:t>
      </w:r>
    </w:p>
    <w:p w14:paraId="331D2B5A" w14:textId="49187DA4" w:rsidR="000A7BFD" w:rsidRPr="000C1688" w:rsidRDefault="00CB2601"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Sin duda uno de los eventos más importantes en la historia reciente en América Latina, es el rápido crecimiento de las ciudades durante la segunda mitad del siglo XX y lo que va del siglo XXI, y la transición hacia una población mayoritariamente urbana (CITAS). </w:t>
      </w:r>
      <w:r w:rsidR="000A7BFD" w:rsidRPr="000C1688">
        <w:rPr>
          <w:rFonts w:ascii="Times New Roman" w:hAnsi="Times New Roman" w:cs="Times New Roman"/>
          <w:sz w:val="24"/>
          <w:szCs w:val="24"/>
          <w:lang w:val="es-ES"/>
        </w:rPr>
        <w:t xml:space="preserve">Colombia </w:t>
      </w:r>
      <w:r w:rsidR="006C6B53" w:rsidRPr="000C1688">
        <w:rPr>
          <w:rFonts w:ascii="Times New Roman" w:hAnsi="Times New Roman" w:cs="Times New Roman"/>
          <w:sz w:val="24"/>
          <w:szCs w:val="24"/>
          <w:lang w:val="es-ES"/>
        </w:rPr>
        <w:t>no fue la excepción a estos procesos; impulsada por</w:t>
      </w:r>
      <w:r w:rsidR="000A7BFD" w:rsidRPr="000C1688">
        <w:rPr>
          <w:rFonts w:ascii="Times New Roman" w:hAnsi="Times New Roman" w:cs="Times New Roman"/>
          <w:sz w:val="24"/>
          <w:szCs w:val="24"/>
          <w:lang w:val="es-ES"/>
        </w:rPr>
        <w:t xml:space="preserve"> fenómenos migratorios</w:t>
      </w:r>
      <w:r w:rsidR="006C6B53" w:rsidRPr="000C1688">
        <w:rPr>
          <w:rFonts w:ascii="Times New Roman" w:hAnsi="Times New Roman" w:cs="Times New Roman"/>
          <w:sz w:val="24"/>
          <w:szCs w:val="24"/>
          <w:lang w:val="es-ES"/>
        </w:rPr>
        <w:t xml:space="preserve"> derivados la pobreza rural, las </w:t>
      </w:r>
      <w:r w:rsidR="000A7BFD" w:rsidRPr="000C1688">
        <w:rPr>
          <w:rFonts w:ascii="Times New Roman" w:hAnsi="Times New Roman" w:cs="Times New Roman"/>
          <w:sz w:val="24"/>
          <w:szCs w:val="24"/>
          <w:lang w:val="es-ES"/>
        </w:rPr>
        <w:t xml:space="preserve">catástrofes naturales y el conflicto armado interno (CITAS), </w:t>
      </w:r>
      <w:r w:rsidR="006C6B53" w:rsidRPr="000C1688">
        <w:rPr>
          <w:rFonts w:ascii="Times New Roman" w:hAnsi="Times New Roman" w:cs="Times New Roman"/>
          <w:sz w:val="24"/>
          <w:szCs w:val="24"/>
          <w:lang w:val="es-ES"/>
        </w:rPr>
        <w:t>la</w:t>
      </w:r>
      <w:r w:rsidR="000A7BFD" w:rsidRPr="000C1688">
        <w:rPr>
          <w:rFonts w:ascii="Times New Roman" w:hAnsi="Times New Roman" w:cs="Times New Roman"/>
          <w:sz w:val="24"/>
          <w:szCs w:val="24"/>
          <w:lang w:val="es-ES"/>
        </w:rPr>
        <w:t xml:space="preserve"> población urbana </w:t>
      </w:r>
      <w:r w:rsidR="006C6B53" w:rsidRPr="000C1688">
        <w:rPr>
          <w:rFonts w:ascii="Times New Roman" w:hAnsi="Times New Roman" w:cs="Times New Roman"/>
          <w:sz w:val="24"/>
          <w:szCs w:val="24"/>
          <w:lang w:val="es-ES"/>
        </w:rPr>
        <w:t xml:space="preserve">paso </w:t>
      </w:r>
      <w:r w:rsidR="000A7BFD" w:rsidRPr="000C1688">
        <w:rPr>
          <w:rFonts w:ascii="Times New Roman" w:hAnsi="Times New Roman" w:cs="Times New Roman"/>
          <w:sz w:val="24"/>
          <w:szCs w:val="24"/>
          <w:lang w:val="es-ES"/>
        </w:rPr>
        <w:t>del 67.5% en 1989 al 80.78% en 2018</w:t>
      </w:r>
      <w:r w:rsidR="006C6B53" w:rsidRPr="000C1688">
        <w:rPr>
          <w:rFonts w:ascii="Times New Roman" w:hAnsi="Times New Roman" w:cs="Times New Roman"/>
          <w:sz w:val="24"/>
          <w:szCs w:val="24"/>
          <w:lang w:val="es-ES"/>
        </w:rPr>
        <w:t xml:space="preserve"> (CITAS)</w:t>
      </w:r>
      <w:r w:rsidR="000A7BFD" w:rsidRPr="000C1688">
        <w:rPr>
          <w:rFonts w:ascii="Times New Roman" w:hAnsi="Times New Roman" w:cs="Times New Roman"/>
          <w:sz w:val="24"/>
          <w:szCs w:val="24"/>
          <w:lang w:val="es-ES"/>
        </w:rPr>
        <w:t xml:space="preserve">, según los datos censales disponles. Esta explosión de la población urbana se acumuló </w:t>
      </w:r>
      <w:r w:rsidR="0088530A" w:rsidRPr="000C1688">
        <w:rPr>
          <w:rFonts w:ascii="Times New Roman" w:hAnsi="Times New Roman" w:cs="Times New Roman"/>
          <w:sz w:val="24"/>
          <w:szCs w:val="24"/>
          <w:lang w:val="es-ES"/>
        </w:rPr>
        <w:t>sobre todo</w:t>
      </w:r>
      <w:r w:rsidR="000A7BFD" w:rsidRPr="000C1688">
        <w:rPr>
          <w:rFonts w:ascii="Times New Roman" w:hAnsi="Times New Roman" w:cs="Times New Roman"/>
          <w:sz w:val="24"/>
          <w:szCs w:val="24"/>
          <w:lang w:val="es-ES"/>
        </w:rPr>
        <w:t xml:space="preserve"> en las ciudades principales como es el caso de la </w:t>
      </w:r>
      <w:r w:rsidR="00CA65E5" w:rsidRPr="000C1688">
        <w:rPr>
          <w:rFonts w:ascii="Times New Roman" w:hAnsi="Times New Roman" w:cs="Times New Roman"/>
          <w:sz w:val="24"/>
          <w:szCs w:val="24"/>
          <w:lang w:val="es-ES"/>
        </w:rPr>
        <w:t>de</w:t>
      </w:r>
      <w:r w:rsidR="000A7BFD" w:rsidRPr="000C1688">
        <w:rPr>
          <w:rFonts w:ascii="Times New Roman" w:hAnsi="Times New Roman" w:cs="Times New Roman"/>
          <w:sz w:val="24"/>
          <w:szCs w:val="24"/>
          <w:lang w:val="es-ES"/>
        </w:rPr>
        <w:t xml:space="preserve"> Bogotá</w:t>
      </w:r>
      <w:r w:rsidR="002145C3" w:rsidRPr="000C1688">
        <w:rPr>
          <w:rFonts w:ascii="Times New Roman" w:hAnsi="Times New Roman" w:cs="Times New Roman"/>
          <w:sz w:val="24"/>
          <w:szCs w:val="24"/>
          <w:lang w:val="es-ES"/>
        </w:rPr>
        <w:t xml:space="preserve"> (CITAS)</w:t>
      </w:r>
      <w:r w:rsidR="000A7BFD" w:rsidRPr="000C1688">
        <w:rPr>
          <w:rFonts w:ascii="Times New Roman" w:hAnsi="Times New Roman" w:cs="Times New Roman"/>
          <w:sz w:val="24"/>
          <w:szCs w:val="24"/>
          <w:lang w:val="es-ES"/>
        </w:rPr>
        <w:t xml:space="preserve">, </w:t>
      </w:r>
      <w:r w:rsidR="006C6B53" w:rsidRPr="000C1688">
        <w:rPr>
          <w:rFonts w:ascii="Times New Roman" w:hAnsi="Times New Roman" w:cs="Times New Roman"/>
          <w:sz w:val="24"/>
          <w:szCs w:val="24"/>
          <w:lang w:val="es-ES"/>
        </w:rPr>
        <w:t>qué</w:t>
      </w:r>
      <w:r w:rsidR="000A7BFD" w:rsidRPr="000C1688">
        <w:rPr>
          <w:rFonts w:ascii="Times New Roman" w:hAnsi="Times New Roman" w:cs="Times New Roman"/>
          <w:sz w:val="24"/>
          <w:szCs w:val="24"/>
          <w:lang w:val="es-ES"/>
        </w:rPr>
        <w:t xml:space="preserve"> en el último medio siglo duplico su tamaño poblacional</w:t>
      </w:r>
      <w:r w:rsidR="006C6B53" w:rsidRPr="000C1688">
        <w:rPr>
          <w:rFonts w:ascii="Times New Roman" w:hAnsi="Times New Roman" w:cs="Times New Roman"/>
          <w:sz w:val="24"/>
          <w:szCs w:val="24"/>
          <w:lang w:val="es-ES"/>
        </w:rPr>
        <w:t>;</w:t>
      </w:r>
      <w:r w:rsidR="002145C3" w:rsidRPr="000C1688">
        <w:rPr>
          <w:rFonts w:ascii="Times New Roman" w:hAnsi="Times New Roman" w:cs="Times New Roman"/>
          <w:sz w:val="24"/>
          <w:szCs w:val="24"/>
          <w:lang w:val="es-ES"/>
        </w:rPr>
        <w:t xml:space="preserve"> </w:t>
      </w:r>
      <w:r w:rsidR="000A7BFD" w:rsidRPr="000C1688">
        <w:rPr>
          <w:rFonts w:ascii="Times New Roman" w:hAnsi="Times New Roman" w:cs="Times New Roman"/>
          <w:sz w:val="24"/>
          <w:szCs w:val="24"/>
          <w:lang w:val="es-ES"/>
        </w:rPr>
        <w:t>solo entre 1989 y 2018 la población paso de 4.4 millones a más de 8 millones en la actualidad</w:t>
      </w:r>
      <w:r w:rsidR="00CA65E5" w:rsidRPr="000C1688">
        <w:rPr>
          <w:rFonts w:ascii="Times New Roman" w:hAnsi="Times New Roman" w:cs="Times New Roman"/>
          <w:sz w:val="24"/>
          <w:szCs w:val="24"/>
          <w:lang w:val="es-ES"/>
        </w:rPr>
        <w:t xml:space="preserve"> (CITAS)</w:t>
      </w:r>
      <w:r w:rsidR="000A7BFD" w:rsidRPr="000C1688">
        <w:rPr>
          <w:rFonts w:ascii="Times New Roman" w:hAnsi="Times New Roman" w:cs="Times New Roman"/>
          <w:sz w:val="24"/>
          <w:szCs w:val="24"/>
          <w:lang w:val="es-ES"/>
        </w:rPr>
        <w:t>.</w:t>
      </w:r>
    </w:p>
    <w:p w14:paraId="44D8E31A" w14:textId="312849B9" w:rsidR="00E56BF2" w:rsidRPr="000C1688" w:rsidRDefault="000A7BFD"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Esta expansión urbana (tanto </w:t>
      </w:r>
      <w:r w:rsidR="002145C3" w:rsidRPr="000C1688">
        <w:rPr>
          <w:rFonts w:ascii="Times New Roman" w:hAnsi="Times New Roman" w:cs="Times New Roman"/>
          <w:sz w:val="24"/>
          <w:szCs w:val="24"/>
          <w:lang w:val="es-ES"/>
        </w:rPr>
        <w:t>demográfica</w:t>
      </w:r>
      <w:r w:rsidRPr="000C1688">
        <w:rPr>
          <w:rFonts w:ascii="Times New Roman" w:hAnsi="Times New Roman" w:cs="Times New Roman"/>
          <w:sz w:val="24"/>
          <w:szCs w:val="24"/>
          <w:lang w:val="es-ES"/>
        </w:rPr>
        <w:t xml:space="preserve"> como </w:t>
      </w:r>
      <w:r w:rsidR="002145C3" w:rsidRPr="000C1688">
        <w:rPr>
          <w:rFonts w:ascii="Times New Roman" w:hAnsi="Times New Roman" w:cs="Times New Roman"/>
          <w:sz w:val="24"/>
          <w:szCs w:val="24"/>
          <w:lang w:val="es-ES"/>
        </w:rPr>
        <w:t>física) lejos</w:t>
      </w:r>
      <w:r w:rsidRPr="000C1688">
        <w:rPr>
          <w:rFonts w:ascii="Times New Roman" w:hAnsi="Times New Roman" w:cs="Times New Roman"/>
          <w:sz w:val="24"/>
          <w:szCs w:val="24"/>
          <w:lang w:val="es-ES"/>
        </w:rPr>
        <w:t xml:space="preserve"> de ser </w:t>
      </w:r>
      <w:r w:rsidR="00D30835" w:rsidRPr="000C1688">
        <w:rPr>
          <w:rFonts w:ascii="Times New Roman" w:hAnsi="Times New Roman" w:cs="Times New Roman"/>
          <w:sz w:val="24"/>
          <w:szCs w:val="24"/>
          <w:lang w:val="es-ES"/>
        </w:rPr>
        <w:t>un proceso</w:t>
      </w:r>
      <w:r w:rsidRPr="000C1688">
        <w:rPr>
          <w:rFonts w:ascii="Times New Roman" w:hAnsi="Times New Roman" w:cs="Times New Roman"/>
          <w:sz w:val="24"/>
          <w:szCs w:val="24"/>
          <w:lang w:val="es-ES"/>
        </w:rPr>
        <w:t xml:space="preserve"> de crecimiento organizado y formal, se </w:t>
      </w:r>
      <w:r w:rsidR="002145C3" w:rsidRPr="000C1688">
        <w:rPr>
          <w:rFonts w:ascii="Times New Roman" w:hAnsi="Times New Roman" w:cs="Times New Roman"/>
          <w:sz w:val="24"/>
          <w:szCs w:val="24"/>
          <w:lang w:val="es-ES"/>
        </w:rPr>
        <w:t>caracterizó</w:t>
      </w:r>
      <w:r w:rsidRPr="000C1688">
        <w:rPr>
          <w:rFonts w:ascii="Times New Roman" w:hAnsi="Times New Roman" w:cs="Times New Roman"/>
          <w:sz w:val="24"/>
          <w:szCs w:val="24"/>
          <w:lang w:val="es-ES"/>
        </w:rPr>
        <w:t xml:space="preserve"> </w:t>
      </w:r>
      <w:r w:rsidR="002145C3" w:rsidRPr="000C1688">
        <w:rPr>
          <w:rFonts w:ascii="Times New Roman" w:hAnsi="Times New Roman" w:cs="Times New Roman"/>
          <w:sz w:val="24"/>
          <w:szCs w:val="24"/>
          <w:lang w:val="es-ES"/>
        </w:rPr>
        <w:t xml:space="preserve">por </w:t>
      </w:r>
      <w:r w:rsidR="00D30835" w:rsidRPr="000C1688">
        <w:rPr>
          <w:rFonts w:ascii="Times New Roman" w:hAnsi="Times New Roman" w:cs="Times New Roman"/>
          <w:sz w:val="24"/>
          <w:szCs w:val="24"/>
          <w:lang w:val="es-ES"/>
        </w:rPr>
        <w:t>una acelerada aparición</w:t>
      </w:r>
      <w:r w:rsidRPr="000C1688">
        <w:rPr>
          <w:rFonts w:ascii="Times New Roman" w:hAnsi="Times New Roman" w:cs="Times New Roman"/>
          <w:sz w:val="24"/>
          <w:szCs w:val="24"/>
          <w:lang w:val="es-ES"/>
        </w:rPr>
        <w:t xml:space="preserve"> de </w:t>
      </w:r>
      <w:r w:rsidR="002145C3" w:rsidRPr="000C1688">
        <w:rPr>
          <w:rFonts w:ascii="Times New Roman" w:hAnsi="Times New Roman" w:cs="Times New Roman"/>
          <w:sz w:val="24"/>
          <w:szCs w:val="24"/>
          <w:lang w:val="es-ES"/>
        </w:rPr>
        <w:t>barrios informales</w:t>
      </w:r>
      <w:r w:rsidR="00D30835" w:rsidRPr="000C1688">
        <w:rPr>
          <w:rFonts w:ascii="Times New Roman" w:hAnsi="Times New Roman" w:cs="Times New Roman"/>
          <w:sz w:val="24"/>
          <w:szCs w:val="24"/>
          <w:lang w:val="es-ES"/>
        </w:rPr>
        <w:t xml:space="preserve"> con origen en la autoconstrucción</w:t>
      </w:r>
      <w:r w:rsidR="002145C3" w:rsidRPr="000C1688">
        <w:rPr>
          <w:rFonts w:ascii="Times New Roman" w:hAnsi="Times New Roman" w:cs="Times New Roman"/>
          <w:sz w:val="24"/>
          <w:szCs w:val="24"/>
          <w:lang w:val="es-ES"/>
        </w:rPr>
        <w:t>, de bajo ingreso</w:t>
      </w:r>
      <w:r w:rsidR="00D30835" w:rsidRPr="000C1688">
        <w:rPr>
          <w:rFonts w:ascii="Times New Roman" w:hAnsi="Times New Roman" w:cs="Times New Roman"/>
          <w:sz w:val="24"/>
          <w:szCs w:val="24"/>
          <w:lang w:val="es-ES"/>
        </w:rPr>
        <w:t xml:space="preserve"> y</w:t>
      </w:r>
      <w:r w:rsidR="002145C3" w:rsidRPr="000C1688">
        <w:rPr>
          <w:rFonts w:ascii="Times New Roman" w:hAnsi="Times New Roman" w:cs="Times New Roman"/>
          <w:sz w:val="24"/>
          <w:szCs w:val="24"/>
          <w:lang w:val="es-ES"/>
        </w:rPr>
        <w:t xml:space="preserve"> poblacionalmente densos</w:t>
      </w:r>
      <w:r w:rsidR="00A1139B" w:rsidRPr="000C1688">
        <w:rPr>
          <w:rStyle w:val="FootnoteReference"/>
          <w:rFonts w:ascii="Times New Roman" w:hAnsi="Times New Roman" w:cs="Times New Roman"/>
          <w:sz w:val="24"/>
          <w:szCs w:val="24"/>
          <w:lang w:val="es-ES"/>
        </w:rPr>
        <w:footnoteReference w:id="1"/>
      </w:r>
      <w:r w:rsidR="00E56BF2" w:rsidRPr="000C1688">
        <w:rPr>
          <w:rFonts w:ascii="Times New Roman" w:hAnsi="Times New Roman" w:cs="Times New Roman"/>
          <w:sz w:val="24"/>
          <w:szCs w:val="24"/>
          <w:lang w:val="es-ES"/>
        </w:rPr>
        <w:t xml:space="preserve"> (CITAS). De </w:t>
      </w:r>
      <w:r w:rsidR="00CA65E5" w:rsidRPr="000C1688">
        <w:rPr>
          <w:rFonts w:ascii="Times New Roman" w:hAnsi="Times New Roman" w:cs="Times New Roman"/>
          <w:sz w:val="24"/>
          <w:szCs w:val="24"/>
          <w:lang w:val="es-ES"/>
        </w:rPr>
        <w:t xml:space="preserve">tal modo que, </w:t>
      </w:r>
      <w:r w:rsidR="00380413" w:rsidRPr="000C1688">
        <w:rPr>
          <w:rFonts w:ascii="Times New Roman" w:hAnsi="Times New Roman" w:cs="Times New Roman"/>
          <w:sz w:val="24"/>
          <w:szCs w:val="24"/>
          <w:lang w:val="es-ES"/>
        </w:rPr>
        <w:t>hoy en día</w:t>
      </w:r>
      <w:r w:rsidR="00E56BF2" w:rsidRPr="000C1688">
        <w:rPr>
          <w:rFonts w:ascii="Times New Roman" w:hAnsi="Times New Roman" w:cs="Times New Roman"/>
          <w:sz w:val="24"/>
          <w:szCs w:val="24"/>
          <w:lang w:val="es-ES"/>
        </w:rPr>
        <w:t xml:space="preserve"> 10.2% de los hogares de la ciudad están en déficit cualitativo de vivienda, y el 3.8% en déficit cuantitativo: lo que equivale a más 352 mil hogares en déficit habitacional (CITAS).</w:t>
      </w:r>
    </w:p>
    <w:p w14:paraId="46D79459" w14:textId="4E538F09" w:rsidR="00E56BF2" w:rsidRPr="000C1688" w:rsidRDefault="00E56BF2"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Aunque incluso desde 1970 ya </w:t>
      </w:r>
      <w:r w:rsidR="00C33B45" w:rsidRPr="000C1688">
        <w:rPr>
          <w:rFonts w:ascii="Times New Roman" w:hAnsi="Times New Roman" w:cs="Times New Roman"/>
          <w:sz w:val="24"/>
          <w:szCs w:val="24"/>
          <w:lang w:val="es-ES"/>
        </w:rPr>
        <w:t>existían</w:t>
      </w:r>
      <w:r w:rsidRPr="000C1688">
        <w:rPr>
          <w:rFonts w:ascii="Times New Roman" w:hAnsi="Times New Roman" w:cs="Times New Roman"/>
          <w:sz w:val="24"/>
          <w:szCs w:val="24"/>
          <w:lang w:val="es-ES"/>
        </w:rPr>
        <w:t xml:space="preserve"> diferentes normas y programas </w:t>
      </w:r>
      <w:r w:rsidR="00C33B45" w:rsidRPr="000C1688">
        <w:rPr>
          <w:rFonts w:ascii="Times New Roman" w:hAnsi="Times New Roman" w:cs="Times New Roman"/>
          <w:sz w:val="24"/>
          <w:szCs w:val="24"/>
          <w:lang w:val="es-ES"/>
        </w:rPr>
        <w:t xml:space="preserve">municipales </w:t>
      </w:r>
      <w:r w:rsidRPr="000C1688">
        <w:rPr>
          <w:rFonts w:ascii="Times New Roman" w:hAnsi="Times New Roman" w:cs="Times New Roman"/>
          <w:sz w:val="24"/>
          <w:szCs w:val="24"/>
          <w:lang w:val="es-ES"/>
        </w:rPr>
        <w:t>que buscaban lidiar con esta situación</w:t>
      </w:r>
      <w:r w:rsidR="00CA65E5" w:rsidRPr="000C1688">
        <w:rPr>
          <w:rFonts w:ascii="Times New Roman" w:hAnsi="Times New Roman" w:cs="Times New Roman"/>
          <w:sz w:val="24"/>
          <w:szCs w:val="24"/>
          <w:lang w:val="es-ES"/>
        </w:rPr>
        <w:t xml:space="preserve"> (CITAS)</w:t>
      </w:r>
      <w:r w:rsidRPr="000C1688">
        <w:rPr>
          <w:rFonts w:ascii="Times New Roman" w:hAnsi="Times New Roman" w:cs="Times New Roman"/>
          <w:sz w:val="24"/>
          <w:szCs w:val="24"/>
          <w:lang w:val="es-ES"/>
        </w:rPr>
        <w:t xml:space="preserve">, no fue sino hasta 1994 con la creación de la ley 388 (ley de </w:t>
      </w:r>
      <w:r w:rsidR="00C33B45" w:rsidRPr="000C1688">
        <w:rPr>
          <w:rFonts w:ascii="Times New Roman" w:hAnsi="Times New Roman" w:cs="Times New Roman"/>
          <w:sz w:val="24"/>
          <w:szCs w:val="24"/>
          <w:lang w:val="es-ES"/>
        </w:rPr>
        <w:t>ordenamiento</w:t>
      </w:r>
      <w:r w:rsidRPr="000C1688">
        <w:rPr>
          <w:rFonts w:ascii="Times New Roman" w:hAnsi="Times New Roman" w:cs="Times New Roman"/>
          <w:sz w:val="24"/>
          <w:szCs w:val="24"/>
          <w:lang w:val="es-ES"/>
        </w:rPr>
        <w:t xml:space="preserve"> territorial) que se creo un marco regulatorio único nacional para la planeación de las ciudades. </w:t>
      </w:r>
      <w:r w:rsidR="00C33B45" w:rsidRPr="000C1688">
        <w:rPr>
          <w:rFonts w:ascii="Times New Roman" w:hAnsi="Times New Roman" w:cs="Times New Roman"/>
          <w:sz w:val="24"/>
          <w:szCs w:val="24"/>
          <w:lang w:val="es-ES"/>
        </w:rPr>
        <w:t>Esta ley obligo a los municipios a diseñar planes de ordenamiento</w:t>
      </w:r>
      <w:r w:rsidR="00CA65E5" w:rsidRPr="000C1688">
        <w:rPr>
          <w:rFonts w:ascii="Times New Roman" w:hAnsi="Times New Roman" w:cs="Times New Roman"/>
          <w:sz w:val="24"/>
          <w:szCs w:val="24"/>
          <w:lang w:val="es-ES"/>
        </w:rPr>
        <w:t xml:space="preserve"> </w:t>
      </w:r>
      <w:r w:rsidR="00380413" w:rsidRPr="000C1688">
        <w:rPr>
          <w:rFonts w:ascii="Times New Roman" w:hAnsi="Times New Roman" w:cs="Times New Roman"/>
          <w:sz w:val="24"/>
          <w:szCs w:val="24"/>
          <w:lang w:val="es-ES"/>
        </w:rPr>
        <w:t xml:space="preserve">territorial </w:t>
      </w:r>
      <w:r w:rsidR="00CA65E5" w:rsidRPr="000C1688">
        <w:rPr>
          <w:rFonts w:ascii="Times New Roman" w:hAnsi="Times New Roman" w:cs="Times New Roman"/>
          <w:sz w:val="24"/>
          <w:szCs w:val="24"/>
          <w:lang w:val="es-ES"/>
        </w:rPr>
        <w:t>(POT)</w:t>
      </w:r>
      <w:r w:rsidR="00C33B45" w:rsidRPr="000C1688">
        <w:rPr>
          <w:rFonts w:ascii="Times New Roman" w:hAnsi="Times New Roman" w:cs="Times New Roman"/>
          <w:sz w:val="24"/>
          <w:szCs w:val="24"/>
          <w:lang w:val="es-ES"/>
        </w:rPr>
        <w:t xml:space="preserve"> en donde, entre otras cosas, se definiera el perímetro urbano de las ciudades, así como también las políticas para el manejo de la informalidad </w:t>
      </w:r>
      <w:r w:rsidR="008D1E0D" w:rsidRPr="000C1688">
        <w:rPr>
          <w:rFonts w:ascii="Times New Roman" w:hAnsi="Times New Roman" w:cs="Times New Roman"/>
          <w:sz w:val="24"/>
          <w:szCs w:val="24"/>
          <w:lang w:val="es-ES"/>
        </w:rPr>
        <w:t xml:space="preserve">a través </w:t>
      </w:r>
      <w:r w:rsidR="00C33B45" w:rsidRPr="000C1688">
        <w:rPr>
          <w:rFonts w:ascii="Times New Roman" w:hAnsi="Times New Roman" w:cs="Times New Roman"/>
          <w:sz w:val="24"/>
          <w:szCs w:val="24"/>
          <w:lang w:val="es-ES"/>
        </w:rPr>
        <w:t xml:space="preserve">programas como </w:t>
      </w:r>
      <w:r w:rsidR="00380413" w:rsidRPr="000C1688">
        <w:rPr>
          <w:rFonts w:ascii="Times New Roman" w:hAnsi="Times New Roman" w:cs="Times New Roman"/>
          <w:sz w:val="24"/>
          <w:szCs w:val="24"/>
          <w:lang w:val="es-ES"/>
        </w:rPr>
        <w:t>la</w:t>
      </w:r>
      <w:r w:rsidR="00C33B45" w:rsidRPr="000C1688">
        <w:rPr>
          <w:rFonts w:ascii="Times New Roman" w:hAnsi="Times New Roman" w:cs="Times New Roman"/>
          <w:sz w:val="24"/>
          <w:szCs w:val="24"/>
          <w:lang w:val="es-ES"/>
        </w:rPr>
        <w:t xml:space="preserve"> legalización de barrios (</w:t>
      </w:r>
      <w:r w:rsidR="008D1E0D" w:rsidRPr="000C1688">
        <w:rPr>
          <w:rFonts w:ascii="Times New Roman" w:hAnsi="Times New Roman" w:cs="Times New Roman"/>
          <w:sz w:val="24"/>
          <w:szCs w:val="24"/>
          <w:lang w:val="es-ES"/>
        </w:rPr>
        <w:t xml:space="preserve">ya existente desde los </w:t>
      </w:r>
      <w:r w:rsidR="00B444CB" w:rsidRPr="000C1688">
        <w:rPr>
          <w:rFonts w:ascii="Times New Roman" w:hAnsi="Times New Roman" w:cs="Times New Roman"/>
          <w:sz w:val="24"/>
          <w:szCs w:val="24"/>
          <w:lang w:val="es-ES"/>
        </w:rPr>
        <w:t>7</w:t>
      </w:r>
      <w:r w:rsidR="008D1E0D" w:rsidRPr="000C1688">
        <w:rPr>
          <w:rFonts w:ascii="Times New Roman" w:hAnsi="Times New Roman" w:cs="Times New Roman"/>
          <w:sz w:val="24"/>
          <w:szCs w:val="24"/>
          <w:lang w:val="es-ES"/>
        </w:rPr>
        <w:t>0’s</w:t>
      </w:r>
      <w:r w:rsidR="00C33B45" w:rsidRPr="000C1688">
        <w:rPr>
          <w:rFonts w:ascii="Times New Roman" w:hAnsi="Times New Roman" w:cs="Times New Roman"/>
          <w:sz w:val="24"/>
          <w:szCs w:val="24"/>
          <w:lang w:val="es-ES"/>
        </w:rPr>
        <w:t>).</w:t>
      </w:r>
      <w:r w:rsidR="0024787F" w:rsidRPr="000C1688">
        <w:rPr>
          <w:rFonts w:ascii="Times New Roman" w:hAnsi="Times New Roman" w:cs="Times New Roman"/>
          <w:sz w:val="24"/>
          <w:szCs w:val="24"/>
          <w:lang w:val="es-ES"/>
        </w:rPr>
        <w:t xml:space="preserve"> En el caso de Bogotá, la ley impulso que la administración adelantara aceleradamente procesos de legalización tanto nuevos como estancados, con el fin de que estas zonas de la ciudad pudiesen ser parte de las políticas urbanas establecidas en el POT</w:t>
      </w:r>
      <w:r w:rsidR="00FB3BFD" w:rsidRPr="000C1688">
        <w:rPr>
          <w:rFonts w:ascii="Times New Roman" w:hAnsi="Times New Roman" w:cs="Times New Roman"/>
          <w:sz w:val="24"/>
          <w:szCs w:val="24"/>
          <w:lang w:val="es-ES"/>
        </w:rPr>
        <w:t xml:space="preserve"> (ver figura 1)</w:t>
      </w:r>
      <w:r w:rsidR="0024787F" w:rsidRPr="000C1688">
        <w:rPr>
          <w:rFonts w:ascii="Times New Roman" w:hAnsi="Times New Roman" w:cs="Times New Roman"/>
          <w:sz w:val="24"/>
          <w:szCs w:val="24"/>
          <w:lang w:val="es-ES"/>
        </w:rPr>
        <w:t>.</w:t>
      </w:r>
    </w:p>
    <w:p w14:paraId="6A69B90D" w14:textId="458B1B68" w:rsidR="00C33B45" w:rsidRPr="000C1688" w:rsidRDefault="00C33B4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El programa de legalización de barrios </w:t>
      </w:r>
      <w:r w:rsidR="003F40B5" w:rsidRPr="000C1688">
        <w:rPr>
          <w:rFonts w:ascii="Times New Roman" w:hAnsi="Times New Roman" w:cs="Times New Roman"/>
          <w:sz w:val="24"/>
          <w:szCs w:val="24"/>
          <w:lang w:val="es-ES"/>
        </w:rPr>
        <w:t>consistió</w:t>
      </w:r>
      <w:r w:rsidRPr="000C1688">
        <w:rPr>
          <w:rFonts w:ascii="Times New Roman" w:hAnsi="Times New Roman" w:cs="Times New Roman"/>
          <w:sz w:val="24"/>
          <w:szCs w:val="24"/>
          <w:lang w:val="es-ES"/>
        </w:rPr>
        <w:t xml:space="preserve"> (y consiste) en el reconocimiento de asentamientos ilegales</w:t>
      </w:r>
      <w:r w:rsidR="00CC1026" w:rsidRPr="000C1688">
        <w:rPr>
          <w:rStyle w:val="FootnoteReference"/>
          <w:rFonts w:ascii="Times New Roman" w:hAnsi="Times New Roman" w:cs="Times New Roman"/>
          <w:sz w:val="24"/>
          <w:szCs w:val="24"/>
          <w:lang w:val="es-ES"/>
        </w:rPr>
        <w:footnoteReference w:id="2"/>
      </w:r>
      <w:r w:rsidRPr="000C1688">
        <w:rPr>
          <w:rFonts w:ascii="Times New Roman" w:hAnsi="Times New Roman" w:cs="Times New Roman"/>
          <w:sz w:val="24"/>
          <w:szCs w:val="24"/>
          <w:lang w:val="es-ES"/>
        </w:rPr>
        <w:t>,</w:t>
      </w:r>
      <w:r w:rsidR="008D1E0D" w:rsidRPr="000C1688">
        <w:rPr>
          <w:rFonts w:ascii="Times New Roman" w:hAnsi="Times New Roman" w:cs="Times New Roman"/>
          <w:sz w:val="24"/>
          <w:szCs w:val="24"/>
          <w:lang w:val="es-ES"/>
        </w:rPr>
        <w:t xml:space="preserve"> para que estos pueden ser posteriormente provistos de servicios públicos y ser sujetos de programas de </w:t>
      </w:r>
      <w:r w:rsidR="00FB3BFD" w:rsidRPr="000C1688">
        <w:rPr>
          <w:rFonts w:ascii="Times New Roman" w:hAnsi="Times New Roman" w:cs="Times New Roman"/>
          <w:sz w:val="24"/>
          <w:szCs w:val="24"/>
          <w:lang w:val="es-ES"/>
        </w:rPr>
        <w:lastRenderedPageBreak/>
        <w:t xml:space="preserve">inversión en </w:t>
      </w:r>
      <w:r w:rsidR="008D1E0D" w:rsidRPr="000C1688">
        <w:rPr>
          <w:rFonts w:ascii="Times New Roman" w:hAnsi="Times New Roman" w:cs="Times New Roman"/>
          <w:sz w:val="24"/>
          <w:szCs w:val="24"/>
          <w:lang w:val="es-ES"/>
        </w:rPr>
        <w:t>infraestructura pública (</w:t>
      </w:r>
      <w:r w:rsidR="00FB3BFD" w:rsidRPr="000C1688">
        <w:rPr>
          <w:rFonts w:ascii="Times New Roman" w:hAnsi="Times New Roman" w:cs="Times New Roman"/>
          <w:sz w:val="24"/>
          <w:szCs w:val="24"/>
          <w:lang w:val="es-ES"/>
        </w:rPr>
        <w:t>a través de</w:t>
      </w:r>
      <w:r w:rsidR="008D1E0D" w:rsidRPr="000C1688">
        <w:rPr>
          <w:rFonts w:ascii="Times New Roman" w:hAnsi="Times New Roman" w:cs="Times New Roman"/>
          <w:sz w:val="24"/>
          <w:szCs w:val="24"/>
          <w:lang w:val="es-ES"/>
        </w:rPr>
        <w:t xml:space="preserve"> </w:t>
      </w:r>
      <w:r w:rsidR="00FB3BFD" w:rsidRPr="000C1688">
        <w:rPr>
          <w:rFonts w:ascii="Times New Roman" w:hAnsi="Times New Roman" w:cs="Times New Roman"/>
          <w:sz w:val="24"/>
          <w:szCs w:val="24"/>
          <w:lang w:val="es-ES"/>
        </w:rPr>
        <w:t xml:space="preserve">programas posteriores </w:t>
      </w:r>
      <w:r w:rsidR="00E45428" w:rsidRPr="000C1688">
        <w:rPr>
          <w:rFonts w:ascii="Times New Roman" w:hAnsi="Times New Roman" w:cs="Times New Roman"/>
          <w:sz w:val="24"/>
          <w:szCs w:val="24"/>
          <w:lang w:val="es-ES"/>
        </w:rPr>
        <w:t xml:space="preserve">como </w:t>
      </w:r>
      <w:r w:rsidR="00FB3BFD" w:rsidRPr="000C1688">
        <w:rPr>
          <w:rFonts w:ascii="Times New Roman" w:hAnsi="Times New Roman" w:cs="Times New Roman"/>
          <w:sz w:val="24"/>
          <w:szCs w:val="24"/>
          <w:lang w:val="es-ES"/>
        </w:rPr>
        <w:t xml:space="preserve">o el de </w:t>
      </w:r>
      <w:r w:rsidR="008D1E0D" w:rsidRPr="000C1688">
        <w:rPr>
          <w:rFonts w:ascii="Times New Roman" w:hAnsi="Times New Roman" w:cs="Times New Roman"/>
          <w:sz w:val="24"/>
          <w:szCs w:val="24"/>
          <w:lang w:val="es-ES"/>
        </w:rPr>
        <w:t xml:space="preserve">mejoramiento integral de barrios). Acá encontramos una diferencia importante en contraste con programas similares en otros pises, pues </w:t>
      </w:r>
      <w:r w:rsidR="00FB3BFD" w:rsidRPr="000C1688">
        <w:rPr>
          <w:rFonts w:ascii="Times New Roman" w:hAnsi="Times New Roman" w:cs="Times New Roman"/>
          <w:sz w:val="24"/>
          <w:szCs w:val="24"/>
          <w:lang w:val="es-ES"/>
        </w:rPr>
        <w:t xml:space="preserve">en Colombia </w:t>
      </w:r>
      <w:r w:rsidR="008D1E0D" w:rsidRPr="000C1688">
        <w:rPr>
          <w:rFonts w:ascii="Times New Roman" w:hAnsi="Times New Roman" w:cs="Times New Roman"/>
          <w:sz w:val="24"/>
          <w:szCs w:val="24"/>
          <w:lang w:val="es-ES"/>
        </w:rPr>
        <w:t>la legalización de barrios no garantiza</w:t>
      </w:r>
      <w:r w:rsidR="003F40B5" w:rsidRPr="000C1688">
        <w:rPr>
          <w:rFonts w:ascii="Times New Roman" w:hAnsi="Times New Roman" w:cs="Times New Roman"/>
          <w:sz w:val="24"/>
          <w:szCs w:val="24"/>
          <w:lang w:val="es-ES"/>
        </w:rPr>
        <w:t xml:space="preserve"> o implica un reconocimiento de </w:t>
      </w:r>
      <w:r w:rsidR="008D1E0D" w:rsidRPr="000C1688">
        <w:rPr>
          <w:rFonts w:ascii="Times New Roman" w:hAnsi="Times New Roman" w:cs="Times New Roman"/>
          <w:sz w:val="24"/>
          <w:szCs w:val="24"/>
          <w:lang w:val="es-ES"/>
        </w:rPr>
        <w:t>derechos de propiedad</w:t>
      </w:r>
      <w:r w:rsidR="003F40B5" w:rsidRPr="000C1688">
        <w:rPr>
          <w:rFonts w:ascii="Times New Roman" w:hAnsi="Times New Roman" w:cs="Times New Roman"/>
          <w:sz w:val="24"/>
          <w:szCs w:val="24"/>
          <w:lang w:val="es-ES"/>
        </w:rPr>
        <w:t xml:space="preserve">, </w:t>
      </w:r>
      <w:r w:rsidR="008D1E0D" w:rsidRPr="000C1688">
        <w:rPr>
          <w:rFonts w:ascii="Times New Roman" w:hAnsi="Times New Roman" w:cs="Times New Roman"/>
          <w:sz w:val="24"/>
          <w:szCs w:val="24"/>
          <w:lang w:val="es-ES"/>
        </w:rPr>
        <w:t xml:space="preserve">como en </w:t>
      </w:r>
      <w:r w:rsidR="003F40B5" w:rsidRPr="000C1688">
        <w:rPr>
          <w:rFonts w:ascii="Times New Roman" w:hAnsi="Times New Roman" w:cs="Times New Roman"/>
          <w:sz w:val="24"/>
          <w:szCs w:val="24"/>
          <w:lang w:val="es-ES"/>
        </w:rPr>
        <w:t xml:space="preserve">el caso de </w:t>
      </w:r>
      <w:r w:rsidR="008D1E0D" w:rsidRPr="000C1688">
        <w:rPr>
          <w:rFonts w:ascii="Times New Roman" w:hAnsi="Times New Roman" w:cs="Times New Roman"/>
          <w:sz w:val="24"/>
          <w:szCs w:val="24"/>
          <w:lang w:val="es-ES"/>
        </w:rPr>
        <w:t>Brasil (CITAS)</w:t>
      </w:r>
      <w:r w:rsidR="003F40B5" w:rsidRPr="000C1688">
        <w:rPr>
          <w:rFonts w:ascii="Times New Roman" w:hAnsi="Times New Roman" w:cs="Times New Roman"/>
          <w:sz w:val="24"/>
          <w:szCs w:val="24"/>
          <w:lang w:val="es-ES"/>
        </w:rPr>
        <w:t>.  A través la legalización de barrios</w:t>
      </w:r>
      <w:r w:rsidR="008D1E0D" w:rsidRPr="000C1688">
        <w:rPr>
          <w:rFonts w:ascii="Times New Roman" w:hAnsi="Times New Roman" w:cs="Times New Roman"/>
          <w:sz w:val="24"/>
          <w:szCs w:val="24"/>
          <w:lang w:val="es-ES"/>
        </w:rPr>
        <w:t xml:space="preserve"> </w:t>
      </w:r>
      <w:r w:rsidR="00CA65E5" w:rsidRPr="000C1688">
        <w:rPr>
          <w:rFonts w:ascii="Times New Roman" w:hAnsi="Times New Roman" w:cs="Times New Roman"/>
          <w:sz w:val="24"/>
          <w:szCs w:val="24"/>
          <w:lang w:val="es-ES"/>
        </w:rPr>
        <w:t xml:space="preserve">solo </w:t>
      </w:r>
      <w:r w:rsidR="003F40B5" w:rsidRPr="000C1688">
        <w:rPr>
          <w:rFonts w:ascii="Times New Roman" w:hAnsi="Times New Roman" w:cs="Times New Roman"/>
          <w:sz w:val="24"/>
          <w:szCs w:val="24"/>
          <w:lang w:val="es-ES"/>
        </w:rPr>
        <w:t xml:space="preserve">se </w:t>
      </w:r>
      <w:r w:rsidR="008D1E0D" w:rsidRPr="000C1688">
        <w:rPr>
          <w:rFonts w:ascii="Times New Roman" w:hAnsi="Times New Roman" w:cs="Times New Roman"/>
          <w:sz w:val="24"/>
          <w:szCs w:val="24"/>
          <w:lang w:val="es-ES"/>
        </w:rPr>
        <w:t xml:space="preserve">reconoce que </w:t>
      </w:r>
      <w:r w:rsidR="00CA65E5" w:rsidRPr="000C1688">
        <w:rPr>
          <w:rFonts w:ascii="Times New Roman" w:hAnsi="Times New Roman" w:cs="Times New Roman"/>
          <w:sz w:val="24"/>
          <w:szCs w:val="24"/>
          <w:lang w:val="es-ES"/>
        </w:rPr>
        <w:t xml:space="preserve">el área </w:t>
      </w:r>
      <w:r w:rsidR="008D1E0D" w:rsidRPr="000C1688">
        <w:rPr>
          <w:rFonts w:ascii="Times New Roman" w:hAnsi="Times New Roman" w:cs="Times New Roman"/>
          <w:sz w:val="24"/>
          <w:szCs w:val="24"/>
          <w:lang w:val="es-ES"/>
        </w:rPr>
        <w:t>en done están construido</w:t>
      </w:r>
      <w:r w:rsidR="003F40B5" w:rsidRPr="000C1688">
        <w:rPr>
          <w:rFonts w:ascii="Times New Roman" w:hAnsi="Times New Roman" w:cs="Times New Roman"/>
          <w:sz w:val="24"/>
          <w:szCs w:val="24"/>
          <w:lang w:val="es-ES"/>
        </w:rPr>
        <w:t xml:space="preserve">s los asentamientos </w:t>
      </w:r>
      <w:r w:rsidR="008D1E0D" w:rsidRPr="000C1688">
        <w:rPr>
          <w:rFonts w:ascii="Times New Roman" w:hAnsi="Times New Roman" w:cs="Times New Roman"/>
          <w:sz w:val="24"/>
          <w:szCs w:val="24"/>
          <w:lang w:val="es-ES"/>
        </w:rPr>
        <w:t xml:space="preserve">es </w:t>
      </w:r>
      <w:r w:rsidR="003F40B5" w:rsidRPr="000C1688">
        <w:rPr>
          <w:rFonts w:ascii="Times New Roman" w:hAnsi="Times New Roman" w:cs="Times New Roman"/>
          <w:sz w:val="24"/>
          <w:szCs w:val="24"/>
          <w:lang w:val="es-ES"/>
        </w:rPr>
        <w:t>“</w:t>
      </w:r>
      <w:r w:rsidR="008D1E0D" w:rsidRPr="000C1688">
        <w:rPr>
          <w:rFonts w:ascii="Times New Roman" w:hAnsi="Times New Roman" w:cs="Times New Roman"/>
          <w:sz w:val="24"/>
          <w:szCs w:val="24"/>
          <w:lang w:val="es-ES"/>
        </w:rPr>
        <w:t>suelo urbano</w:t>
      </w:r>
      <w:r w:rsidR="003F40B5" w:rsidRPr="000C1688">
        <w:rPr>
          <w:rFonts w:ascii="Times New Roman" w:hAnsi="Times New Roman" w:cs="Times New Roman"/>
          <w:sz w:val="24"/>
          <w:szCs w:val="24"/>
          <w:lang w:val="es-ES"/>
        </w:rPr>
        <w:t xml:space="preserve">” </w:t>
      </w:r>
      <w:r w:rsidR="008D1E0D" w:rsidRPr="000C1688">
        <w:rPr>
          <w:rFonts w:ascii="Times New Roman" w:hAnsi="Times New Roman" w:cs="Times New Roman"/>
          <w:sz w:val="24"/>
          <w:szCs w:val="24"/>
          <w:lang w:val="es-ES"/>
        </w:rPr>
        <w:t xml:space="preserve">y por ende puede ser sujeto de </w:t>
      </w:r>
      <w:r w:rsidR="000F492B" w:rsidRPr="000C1688">
        <w:rPr>
          <w:rFonts w:ascii="Times New Roman" w:hAnsi="Times New Roman" w:cs="Times New Roman"/>
          <w:sz w:val="24"/>
          <w:szCs w:val="24"/>
          <w:lang w:val="es-ES"/>
        </w:rPr>
        <w:t>“</w:t>
      </w:r>
      <w:r w:rsidR="008D1E0D" w:rsidRPr="000C1688">
        <w:rPr>
          <w:rFonts w:ascii="Times New Roman" w:hAnsi="Times New Roman" w:cs="Times New Roman"/>
          <w:sz w:val="24"/>
          <w:szCs w:val="24"/>
          <w:lang w:val="es-ES"/>
        </w:rPr>
        <w:t>políticas urbanas</w:t>
      </w:r>
      <w:r w:rsidR="000F492B" w:rsidRPr="000C1688">
        <w:rPr>
          <w:rFonts w:ascii="Times New Roman" w:hAnsi="Times New Roman" w:cs="Times New Roman"/>
          <w:sz w:val="24"/>
          <w:szCs w:val="24"/>
          <w:lang w:val="es-ES"/>
        </w:rPr>
        <w:t>”</w:t>
      </w:r>
      <w:r w:rsidR="003F40B5" w:rsidRPr="000C1688">
        <w:rPr>
          <w:rFonts w:ascii="Times New Roman" w:hAnsi="Times New Roman" w:cs="Times New Roman"/>
          <w:sz w:val="24"/>
          <w:szCs w:val="24"/>
          <w:lang w:val="es-ES"/>
        </w:rPr>
        <w:t xml:space="preserve">: es una política que cambia el estatus jurídico del asentamiento parar </w:t>
      </w:r>
      <w:r w:rsidR="00CA65E5" w:rsidRPr="000C1688">
        <w:rPr>
          <w:rFonts w:ascii="Times New Roman" w:hAnsi="Times New Roman" w:cs="Times New Roman"/>
          <w:sz w:val="24"/>
          <w:szCs w:val="24"/>
          <w:lang w:val="es-ES"/>
        </w:rPr>
        <w:t xml:space="preserve">que posteriormente el </w:t>
      </w:r>
      <w:r w:rsidR="003F40B5" w:rsidRPr="000C1688">
        <w:rPr>
          <w:rFonts w:ascii="Times New Roman" w:hAnsi="Times New Roman" w:cs="Times New Roman"/>
          <w:sz w:val="24"/>
          <w:szCs w:val="24"/>
          <w:lang w:val="es-ES"/>
        </w:rPr>
        <w:t>Estado</w:t>
      </w:r>
      <w:r w:rsidR="00CA65E5" w:rsidRPr="000C1688">
        <w:rPr>
          <w:rFonts w:ascii="Times New Roman" w:hAnsi="Times New Roman" w:cs="Times New Roman"/>
          <w:sz w:val="24"/>
          <w:szCs w:val="24"/>
          <w:lang w:val="es-ES"/>
        </w:rPr>
        <w:t xml:space="preserve"> pueda intervenirlo</w:t>
      </w:r>
      <w:r w:rsidR="003F40B5" w:rsidRPr="000C1688">
        <w:rPr>
          <w:rFonts w:ascii="Times New Roman" w:hAnsi="Times New Roman" w:cs="Times New Roman"/>
          <w:sz w:val="24"/>
          <w:szCs w:val="24"/>
          <w:lang w:val="es-ES"/>
        </w:rPr>
        <w:t>.</w:t>
      </w:r>
    </w:p>
    <w:p w14:paraId="6FA4A8B5" w14:textId="22F9AAB7" w:rsidR="0040195D" w:rsidRPr="000C1688" w:rsidRDefault="000F492B"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Ahora bien, el programa de legalización de barrios no ha estado fuera de la controversia y el debate público. Algunos sectores políticos se han opuesto al mantenimiento de este programa/instrumento</w:t>
      </w:r>
      <w:r w:rsidR="00A64AF0" w:rsidRPr="000C1688">
        <w:rPr>
          <w:rFonts w:ascii="Times New Roman" w:hAnsi="Times New Roman" w:cs="Times New Roman"/>
          <w:sz w:val="24"/>
          <w:szCs w:val="24"/>
          <w:lang w:val="es-ES"/>
        </w:rPr>
        <w:t xml:space="preserve"> (</w:t>
      </w:r>
      <w:r w:rsidR="00FB3BFD" w:rsidRPr="000C1688">
        <w:rPr>
          <w:rFonts w:ascii="Times New Roman" w:hAnsi="Times New Roman" w:cs="Times New Roman"/>
          <w:sz w:val="24"/>
          <w:szCs w:val="24"/>
          <w:lang w:val="es-ES"/>
        </w:rPr>
        <w:t>y otros de naturaleza similar</w:t>
      </w:r>
      <w:r w:rsidR="00A64AF0" w:rsidRPr="000C1688">
        <w:rPr>
          <w:rFonts w:ascii="Times New Roman" w:hAnsi="Times New Roman" w:cs="Times New Roman"/>
          <w:sz w:val="24"/>
          <w:szCs w:val="24"/>
          <w:lang w:val="es-ES"/>
        </w:rPr>
        <w:t>)</w:t>
      </w:r>
      <w:r w:rsidRPr="000C1688">
        <w:rPr>
          <w:rFonts w:ascii="Times New Roman" w:hAnsi="Times New Roman" w:cs="Times New Roman"/>
          <w:sz w:val="24"/>
          <w:szCs w:val="24"/>
          <w:lang w:val="es-ES"/>
        </w:rPr>
        <w:t>, alegando que genera incentivos a la expansión ilegal e informal de la ciudad, y proponiendo que la política habitacional se enfoque exclusivamente en la vivienda social nueva</w:t>
      </w:r>
      <w:r w:rsidR="00166E4C" w:rsidRPr="000C1688">
        <w:rPr>
          <w:rFonts w:ascii="Times New Roman" w:hAnsi="Times New Roman" w:cs="Times New Roman"/>
          <w:sz w:val="24"/>
          <w:szCs w:val="24"/>
          <w:lang w:val="es-ES"/>
        </w:rPr>
        <w:t xml:space="preserve"> (una postura por cierto apoyada por grandes empresas de la construcción)</w:t>
      </w:r>
      <w:r w:rsidRPr="000C1688">
        <w:rPr>
          <w:rFonts w:ascii="Times New Roman" w:hAnsi="Times New Roman" w:cs="Times New Roman"/>
          <w:sz w:val="24"/>
          <w:szCs w:val="24"/>
          <w:lang w:val="es-ES"/>
        </w:rPr>
        <w:t>. Incluso en 200</w:t>
      </w:r>
      <w:r w:rsidR="00B444CB" w:rsidRPr="000C1688">
        <w:rPr>
          <w:rFonts w:ascii="Times New Roman" w:hAnsi="Times New Roman" w:cs="Times New Roman"/>
          <w:sz w:val="24"/>
          <w:szCs w:val="24"/>
          <w:lang w:val="es-ES"/>
        </w:rPr>
        <w:t>3</w:t>
      </w:r>
      <w:r w:rsidRPr="000C1688">
        <w:rPr>
          <w:rFonts w:ascii="Times New Roman" w:hAnsi="Times New Roman" w:cs="Times New Roman"/>
          <w:sz w:val="24"/>
          <w:szCs w:val="24"/>
          <w:lang w:val="es-ES"/>
        </w:rPr>
        <w:t xml:space="preserve">, el gobierno nacional llego prohibir </w:t>
      </w:r>
      <w:r w:rsidR="0024787F" w:rsidRPr="000C1688">
        <w:rPr>
          <w:rFonts w:ascii="Times New Roman" w:hAnsi="Times New Roman" w:cs="Times New Roman"/>
          <w:sz w:val="24"/>
          <w:szCs w:val="24"/>
          <w:lang w:val="es-ES"/>
        </w:rPr>
        <w:t xml:space="preserve">cualquier tipo de inversión pública en asentamientos cuyo origen fuese posterior a este año, así como también </w:t>
      </w:r>
      <w:r w:rsidR="00E45428" w:rsidRPr="000C1688">
        <w:rPr>
          <w:rFonts w:ascii="Times New Roman" w:hAnsi="Times New Roman" w:cs="Times New Roman"/>
          <w:sz w:val="24"/>
          <w:szCs w:val="24"/>
          <w:lang w:val="es-ES"/>
        </w:rPr>
        <w:t>prohibió</w:t>
      </w:r>
      <w:r w:rsidR="0024787F" w:rsidRPr="000C1688">
        <w:rPr>
          <w:rFonts w:ascii="Times New Roman" w:hAnsi="Times New Roman" w:cs="Times New Roman"/>
          <w:sz w:val="24"/>
          <w:szCs w:val="24"/>
          <w:lang w:val="es-ES"/>
        </w:rPr>
        <w:t xml:space="preserve"> que las empresas prestadoras de servicios públicos proveyeran servicios a estas zonas</w:t>
      </w:r>
      <w:r w:rsidR="00FB3BFD" w:rsidRPr="000C1688">
        <w:rPr>
          <w:rFonts w:ascii="Times New Roman" w:hAnsi="Times New Roman" w:cs="Times New Roman"/>
          <w:sz w:val="24"/>
          <w:szCs w:val="24"/>
          <w:lang w:val="es-ES"/>
        </w:rPr>
        <w:t>;</w:t>
      </w:r>
      <w:r w:rsidR="0024787F" w:rsidRPr="000C1688">
        <w:rPr>
          <w:rFonts w:ascii="Times New Roman" w:hAnsi="Times New Roman" w:cs="Times New Roman"/>
          <w:sz w:val="24"/>
          <w:szCs w:val="24"/>
          <w:lang w:val="es-ES"/>
        </w:rPr>
        <w:t xml:space="preserve"> inviabilizando la aplicación de programas como el de legalización de barrios </w:t>
      </w:r>
      <w:r w:rsidRPr="000C1688">
        <w:rPr>
          <w:rFonts w:ascii="Times New Roman" w:hAnsi="Times New Roman" w:cs="Times New Roman"/>
          <w:sz w:val="24"/>
          <w:szCs w:val="24"/>
          <w:lang w:val="es-ES"/>
        </w:rPr>
        <w:t>(CITAS)</w:t>
      </w:r>
      <w:r w:rsidR="00FB3BFD" w:rsidRPr="000C1688">
        <w:rPr>
          <w:rFonts w:ascii="Times New Roman" w:hAnsi="Times New Roman" w:cs="Times New Roman"/>
          <w:sz w:val="24"/>
          <w:szCs w:val="24"/>
          <w:lang w:val="es-ES"/>
        </w:rPr>
        <w:t>.</w:t>
      </w:r>
      <w:r w:rsidR="0024787F" w:rsidRPr="000C1688">
        <w:rPr>
          <w:rFonts w:ascii="Times New Roman" w:hAnsi="Times New Roman" w:cs="Times New Roman"/>
          <w:sz w:val="24"/>
          <w:szCs w:val="24"/>
          <w:lang w:val="es-ES"/>
        </w:rPr>
        <w:t xml:space="preserve"> </w:t>
      </w:r>
      <w:r w:rsidR="00FB3BFD" w:rsidRPr="000C1688">
        <w:rPr>
          <w:rFonts w:ascii="Times New Roman" w:hAnsi="Times New Roman" w:cs="Times New Roman"/>
          <w:sz w:val="24"/>
          <w:szCs w:val="24"/>
          <w:lang w:val="es-ES"/>
        </w:rPr>
        <w:t>E</w:t>
      </w:r>
      <w:r w:rsidR="0024787F" w:rsidRPr="000C1688">
        <w:rPr>
          <w:rFonts w:ascii="Times New Roman" w:hAnsi="Times New Roman" w:cs="Times New Roman"/>
          <w:sz w:val="24"/>
          <w:szCs w:val="24"/>
          <w:lang w:val="es-ES"/>
        </w:rPr>
        <w:t xml:space="preserve">sta </w:t>
      </w:r>
      <w:r w:rsidRPr="000C1688">
        <w:rPr>
          <w:rFonts w:ascii="Times New Roman" w:hAnsi="Times New Roman" w:cs="Times New Roman"/>
          <w:sz w:val="24"/>
          <w:szCs w:val="24"/>
          <w:lang w:val="es-ES"/>
        </w:rPr>
        <w:t xml:space="preserve">prohibición </w:t>
      </w:r>
      <w:r w:rsidR="0024787F" w:rsidRPr="000C1688">
        <w:rPr>
          <w:rFonts w:ascii="Times New Roman" w:hAnsi="Times New Roman" w:cs="Times New Roman"/>
          <w:sz w:val="24"/>
          <w:szCs w:val="24"/>
          <w:lang w:val="es-ES"/>
        </w:rPr>
        <w:t xml:space="preserve">sería luego </w:t>
      </w:r>
      <w:r w:rsidRPr="000C1688">
        <w:rPr>
          <w:rFonts w:ascii="Times New Roman" w:hAnsi="Times New Roman" w:cs="Times New Roman"/>
          <w:sz w:val="24"/>
          <w:szCs w:val="24"/>
          <w:lang w:val="es-ES"/>
        </w:rPr>
        <w:t>declarada inconstitucional por las altas cortes</w:t>
      </w:r>
      <w:r w:rsidR="006F1649" w:rsidRPr="000C1688">
        <w:rPr>
          <w:rFonts w:ascii="Times New Roman" w:hAnsi="Times New Roman" w:cs="Times New Roman"/>
          <w:sz w:val="24"/>
          <w:szCs w:val="24"/>
          <w:lang w:val="es-ES"/>
        </w:rPr>
        <w:t xml:space="preserve"> </w:t>
      </w:r>
      <w:r w:rsidR="00B444CB" w:rsidRPr="000C1688">
        <w:rPr>
          <w:rFonts w:ascii="Times New Roman" w:hAnsi="Times New Roman" w:cs="Times New Roman"/>
          <w:sz w:val="24"/>
          <w:szCs w:val="24"/>
          <w:lang w:val="es-ES"/>
        </w:rPr>
        <w:t>en 2008</w:t>
      </w:r>
      <w:r w:rsidRPr="000C1688">
        <w:rPr>
          <w:rFonts w:ascii="Times New Roman" w:hAnsi="Times New Roman" w:cs="Times New Roman"/>
          <w:sz w:val="24"/>
          <w:szCs w:val="24"/>
          <w:lang w:val="es-ES"/>
        </w:rPr>
        <w:t>.</w:t>
      </w:r>
      <w:r w:rsidR="00166E4C" w:rsidRPr="000C1688">
        <w:rPr>
          <w:rFonts w:ascii="Times New Roman" w:hAnsi="Times New Roman" w:cs="Times New Roman"/>
          <w:sz w:val="24"/>
          <w:szCs w:val="24"/>
          <w:lang w:val="es-ES"/>
        </w:rPr>
        <w:t xml:space="preserve"> Del otro lado, otros sectores abogan por el manteamiento de este tipo de políticas, alegando que es una opción más barata </w:t>
      </w:r>
      <w:r w:rsidR="00A64AF0" w:rsidRPr="000C1688">
        <w:rPr>
          <w:rFonts w:ascii="Times New Roman" w:hAnsi="Times New Roman" w:cs="Times New Roman"/>
          <w:sz w:val="24"/>
          <w:szCs w:val="24"/>
          <w:lang w:val="es-ES"/>
        </w:rPr>
        <w:t xml:space="preserve">para el Estado </w:t>
      </w:r>
      <w:r w:rsidR="00166E4C" w:rsidRPr="000C1688">
        <w:rPr>
          <w:rFonts w:ascii="Times New Roman" w:hAnsi="Times New Roman" w:cs="Times New Roman"/>
          <w:sz w:val="24"/>
          <w:szCs w:val="24"/>
          <w:lang w:val="es-ES"/>
        </w:rPr>
        <w:t xml:space="preserve">que la construcción </w:t>
      </w:r>
      <w:r w:rsidR="00A64AF0" w:rsidRPr="000C1688">
        <w:rPr>
          <w:rFonts w:ascii="Times New Roman" w:hAnsi="Times New Roman" w:cs="Times New Roman"/>
          <w:sz w:val="24"/>
          <w:szCs w:val="24"/>
          <w:lang w:val="es-ES"/>
        </w:rPr>
        <w:t>nuevas viviendas, así como también más asequible</w:t>
      </w:r>
      <w:r w:rsidR="00E7048B" w:rsidRPr="000C1688">
        <w:rPr>
          <w:rStyle w:val="FootnoteReference"/>
          <w:rFonts w:ascii="Times New Roman" w:hAnsi="Times New Roman" w:cs="Times New Roman"/>
          <w:sz w:val="24"/>
          <w:szCs w:val="24"/>
          <w:lang w:val="es-ES"/>
        </w:rPr>
        <w:footnoteReference w:id="3"/>
      </w:r>
      <w:r w:rsidR="00A64AF0" w:rsidRPr="000C1688">
        <w:rPr>
          <w:rFonts w:ascii="Times New Roman" w:hAnsi="Times New Roman" w:cs="Times New Roman"/>
          <w:sz w:val="24"/>
          <w:szCs w:val="24"/>
          <w:lang w:val="es-ES"/>
        </w:rPr>
        <w:t xml:space="preserve">  para los hogares en déficit (CITAS)</w:t>
      </w:r>
      <w:r w:rsidR="00166E4C" w:rsidRPr="000C1688">
        <w:rPr>
          <w:rFonts w:ascii="Times New Roman" w:hAnsi="Times New Roman" w:cs="Times New Roman"/>
          <w:sz w:val="24"/>
          <w:szCs w:val="24"/>
          <w:lang w:val="es-ES"/>
        </w:rPr>
        <w:t>, en parte desconociendo o ignorando la posible existencia de efectos adversos del programa.</w:t>
      </w:r>
    </w:p>
    <w:p w14:paraId="44FAA8BD" w14:textId="77777777" w:rsidR="007236BB" w:rsidRPr="000C1688" w:rsidRDefault="007236BB" w:rsidP="00A024ED">
      <w:pPr>
        <w:keepNext/>
        <w:spacing w:line="360" w:lineRule="auto"/>
        <w:jc w:val="center"/>
        <w:rPr>
          <w:rFonts w:ascii="Times New Roman" w:hAnsi="Times New Roman" w:cs="Times New Roman"/>
          <w:sz w:val="24"/>
          <w:szCs w:val="24"/>
        </w:rPr>
      </w:pPr>
      <w:r w:rsidRPr="000C1688">
        <w:rPr>
          <w:rFonts w:ascii="Times New Roman" w:hAnsi="Times New Roman" w:cs="Times New Roman"/>
          <w:noProof/>
          <w:sz w:val="24"/>
          <w:szCs w:val="24"/>
        </w:rPr>
        <w:lastRenderedPageBreak/>
        <w:drawing>
          <wp:inline distT="0" distB="0" distL="0" distR="0" wp14:anchorId="4B7127A4" wp14:editId="223ACE5C">
            <wp:extent cx="5059680" cy="2845290"/>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021"/>
                    <a:stretch/>
                  </pic:blipFill>
                  <pic:spPr bwMode="auto">
                    <a:xfrm>
                      <a:off x="0" y="0"/>
                      <a:ext cx="5059680" cy="2845290"/>
                    </a:xfrm>
                    <a:prstGeom prst="rect">
                      <a:avLst/>
                    </a:prstGeom>
                    <a:noFill/>
                    <a:ln>
                      <a:noFill/>
                    </a:ln>
                    <a:extLst>
                      <a:ext uri="{53640926-AAD7-44D8-BBD7-CCE9431645EC}">
                        <a14:shadowObscured xmlns:a14="http://schemas.microsoft.com/office/drawing/2010/main"/>
                      </a:ext>
                    </a:extLst>
                  </pic:spPr>
                </pic:pic>
              </a:graphicData>
            </a:graphic>
          </wp:inline>
        </w:drawing>
      </w:r>
    </w:p>
    <w:p w14:paraId="5B411F88" w14:textId="1C0B9F08" w:rsidR="00A1139B" w:rsidRPr="000C1688" w:rsidRDefault="007236BB" w:rsidP="00A024ED">
      <w:pPr>
        <w:pStyle w:val="Caption"/>
        <w:jc w:val="center"/>
        <w:rPr>
          <w:rFonts w:ascii="Times New Roman" w:hAnsi="Times New Roman" w:cs="Times New Roman"/>
          <w:color w:val="000000" w:themeColor="text1"/>
          <w:sz w:val="24"/>
          <w:szCs w:val="24"/>
        </w:rPr>
      </w:pPr>
      <w:r w:rsidRPr="000C1688">
        <w:rPr>
          <w:rFonts w:ascii="Times New Roman" w:hAnsi="Times New Roman" w:cs="Times New Roman"/>
          <w:color w:val="000000" w:themeColor="text1"/>
          <w:sz w:val="24"/>
          <w:szCs w:val="24"/>
        </w:rPr>
        <w:t>Figur</w:t>
      </w:r>
      <w:r w:rsidR="003B1980" w:rsidRPr="000C1688">
        <w:rPr>
          <w:rFonts w:ascii="Times New Roman" w:hAnsi="Times New Roman" w:cs="Times New Roman"/>
          <w:color w:val="000000" w:themeColor="text1"/>
          <w:sz w:val="24"/>
          <w:szCs w:val="24"/>
        </w:rPr>
        <w:t>a</w:t>
      </w:r>
      <w:r w:rsidRPr="000C1688">
        <w:rPr>
          <w:rFonts w:ascii="Times New Roman" w:hAnsi="Times New Roman" w:cs="Times New Roman"/>
          <w:color w:val="000000" w:themeColor="text1"/>
          <w:sz w:val="24"/>
          <w:szCs w:val="24"/>
        </w:rPr>
        <w:t xml:space="preserve"> </w:t>
      </w:r>
      <w:r w:rsidRPr="000C1688">
        <w:rPr>
          <w:rFonts w:ascii="Times New Roman" w:hAnsi="Times New Roman" w:cs="Times New Roman"/>
          <w:color w:val="000000" w:themeColor="text1"/>
          <w:sz w:val="24"/>
          <w:szCs w:val="24"/>
        </w:rPr>
        <w:fldChar w:fldCharType="begin"/>
      </w:r>
      <w:r w:rsidRPr="000C1688">
        <w:rPr>
          <w:rFonts w:ascii="Times New Roman" w:hAnsi="Times New Roman" w:cs="Times New Roman"/>
          <w:color w:val="000000" w:themeColor="text1"/>
          <w:sz w:val="24"/>
          <w:szCs w:val="24"/>
        </w:rPr>
        <w:instrText xml:space="preserve"> SEQ Figura \* ARABIC </w:instrText>
      </w:r>
      <w:r w:rsidRPr="000C1688">
        <w:rPr>
          <w:rFonts w:ascii="Times New Roman" w:hAnsi="Times New Roman" w:cs="Times New Roman"/>
          <w:color w:val="000000" w:themeColor="text1"/>
          <w:sz w:val="24"/>
          <w:szCs w:val="24"/>
        </w:rPr>
        <w:fldChar w:fldCharType="separate"/>
      </w:r>
      <w:r w:rsidR="00C22E69" w:rsidRPr="000C1688">
        <w:rPr>
          <w:rFonts w:ascii="Times New Roman" w:hAnsi="Times New Roman" w:cs="Times New Roman"/>
          <w:noProof/>
          <w:color w:val="000000" w:themeColor="text1"/>
          <w:sz w:val="24"/>
          <w:szCs w:val="24"/>
        </w:rPr>
        <w:t>1</w:t>
      </w:r>
      <w:r w:rsidRPr="000C1688">
        <w:rPr>
          <w:rFonts w:ascii="Times New Roman" w:hAnsi="Times New Roman" w:cs="Times New Roman"/>
          <w:color w:val="000000" w:themeColor="text1"/>
          <w:sz w:val="24"/>
          <w:szCs w:val="24"/>
        </w:rPr>
        <w:fldChar w:fldCharType="end"/>
      </w:r>
      <w:r w:rsidRPr="000C1688">
        <w:rPr>
          <w:rFonts w:ascii="Times New Roman" w:hAnsi="Times New Roman" w:cs="Times New Roman"/>
          <w:color w:val="000000" w:themeColor="text1"/>
          <w:sz w:val="24"/>
          <w:szCs w:val="24"/>
        </w:rPr>
        <w:t xml:space="preserve">. </w:t>
      </w:r>
      <w:r w:rsidR="003B1980" w:rsidRPr="000C1688">
        <w:rPr>
          <w:rFonts w:ascii="Times New Roman" w:hAnsi="Times New Roman" w:cs="Times New Roman"/>
          <w:color w:val="000000" w:themeColor="text1"/>
          <w:sz w:val="24"/>
          <w:szCs w:val="24"/>
        </w:rPr>
        <w:t>Acumulado de número de procesos de legalización aprobados por año</w:t>
      </w:r>
      <w:r w:rsidRPr="000C1688">
        <w:rPr>
          <w:rFonts w:ascii="Times New Roman" w:hAnsi="Times New Roman" w:cs="Times New Roman"/>
          <w:color w:val="000000" w:themeColor="text1"/>
          <w:sz w:val="24"/>
          <w:szCs w:val="24"/>
        </w:rPr>
        <w:t>s (1975-2019)</w:t>
      </w:r>
    </w:p>
    <w:p w14:paraId="50176FC0" w14:textId="15B539AC" w:rsidR="006F1649" w:rsidRPr="000C1688" w:rsidRDefault="00747D84" w:rsidP="00A024ED">
      <w:pPr>
        <w:spacing w:line="360" w:lineRule="auto"/>
        <w:ind w:left="708" w:right="473"/>
        <w:jc w:val="both"/>
        <w:rPr>
          <w:rFonts w:ascii="Times New Roman" w:hAnsi="Times New Roman" w:cs="Times New Roman"/>
          <w:sz w:val="20"/>
          <w:szCs w:val="20"/>
          <w:lang w:val="es-ES"/>
        </w:rPr>
      </w:pPr>
      <w:r w:rsidRPr="000C1688">
        <w:rPr>
          <w:rFonts w:ascii="Times New Roman" w:hAnsi="Times New Roman" w:cs="Times New Roman"/>
          <w:sz w:val="20"/>
          <w:szCs w:val="20"/>
          <w:lang w:val="es-ES"/>
        </w:rPr>
        <w:t>Nota</w:t>
      </w:r>
      <w:r w:rsidR="006F1649" w:rsidRPr="000C1688">
        <w:rPr>
          <w:rFonts w:ascii="Times New Roman" w:hAnsi="Times New Roman" w:cs="Times New Roman"/>
          <w:sz w:val="20"/>
          <w:szCs w:val="20"/>
          <w:lang w:val="es-ES"/>
        </w:rPr>
        <w:t xml:space="preserve">: </w:t>
      </w:r>
      <w:r w:rsidR="00025D8B" w:rsidRPr="000C1688">
        <w:rPr>
          <w:rFonts w:ascii="Times New Roman" w:hAnsi="Times New Roman" w:cs="Times New Roman"/>
          <w:sz w:val="20"/>
          <w:szCs w:val="20"/>
          <w:lang w:val="es-ES"/>
        </w:rPr>
        <w:t xml:space="preserve">Hitos históricos de izquierda a derecha: </w:t>
      </w:r>
      <w:r w:rsidR="00025D8B" w:rsidRPr="000C1688">
        <w:rPr>
          <w:rFonts w:ascii="Times New Roman" w:hAnsi="Times New Roman" w:cs="Times New Roman"/>
          <w:b/>
          <w:bCs/>
          <w:sz w:val="20"/>
          <w:szCs w:val="20"/>
          <w:lang w:val="es-ES"/>
        </w:rPr>
        <w:t>A</w:t>
      </w:r>
      <w:r w:rsidR="006F1649" w:rsidRPr="000C1688">
        <w:rPr>
          <w:rFonts w:ascii="Times New Roman" w:hAnsi="Times New Roman" w:cs="Times New Roman"/>
          <w:sz w:val="20"/>
          <w:szCs w:val="20"/>
          <w:lang w:val="es-ES"/>
        </w:rPr>
        <w:t>)</w:t>
      </w:r>
      <w:r w:rsidR="00025D8B" w:rsidRPr="000C1688">
        <w:rPr>
          <w:rFonts w:ascii="Times New Roman" w:hAnsi="Times New Roman" w:cs="Times New Roman"/>
          <w:sz w:val="20"/>
          <w:szCs w:val="20"/>
          <w:lang w:val="es-ES"/>
        </w:rPr>
        <w:t xml:space="preserve"> 1994: expedición de la ley 388 de 1994 de ordenamiento territorial</w:t>
      </w:r>
      <w:r w:rsidRPr="000C1688">
        <w:rPr>
          <w:rFonts w:ascii="Times New Roman" w:hAnsi="Times New Roman" w:cs="Times New Roman"/>
          <w:sz w:val="20"/>
          <w:szCs w:val="20"/>
          <w:lang w:val="es-ES"/>
        </w:rPr>
        <w:t>.</w:t>
      </w:r>
      <w:r w:rsidR="006F1649" w:rsidRPr="000C1688">
        <w:rPr>
          <w:rFonts w:ascii="Times New Roman" w:hAnsi="Times New Roman" w:cs="Times New Roman"/>
          <w:sz w:val="20"/>
          <w:szCs w:val="20"/>
          <w:lang w:val="es-ES"/>
        </w:rPr>
        <w:t xml:space="preserve"> </w:t>
      </w:r>
      <w:r w:rsidRPr="000C1688">
        <w:rPr>
          <w:rFonts w:ascii="Times New Roman" w:hAnsi="Times New Roman" w:cs="Times New Roman"/>
          <w:b/>
          <w:bCs/>
          <w:sz w:val="20"/>
          <w:szCs w:val="20"/>
          <w:lang w:val="es-ES"/>
        </w:rPr>
        <w:t>B</w:t>
      </w:r>
      <w:r w:rsidR="006F1649" w:rsidRPr="000C1688">
        <w:rPr>
          <w:rFonts w:ascii="Times New Roman" w:hAnsi="Times New Roman" w:cs="Times New Roman"/>
          <w:sz w:val="20"/>
          <w:szCs w:val="20"/>
          <w:lang w:val="es-ES"/>
        </w:rPr>
        <w:t>)</w:t>
      </w:r>
      <w:r w:rsidR="00025D8B" w:rsidRPr="000C1688">
        <w:rPr>
          <w:rFonts w:ascii="Times New Roman" w:hAnsi="Times New Roman" w:cs="Times New Roman"/>
          <w:sz w:val="20"/>
          <w:szCs w:val="20"/>
          <w:lang w:val="es-ES"/>
        </w:rPr>
        <w:t xml:space="preserve"> 2003: </w:t>
      </w:r>
      <w:r w:rsidR="00211E92" w:rsidRPr="000C1688">
        <w:rPr>
          <w:rFonts w:ascii="Times New Roman" w:hAnsi="Times New Roman" w:cs="Times New Roman"/>
          <w:sz w:val="20"/>
          <w:szCs w:val="20"/>
          <w:lang w:val="es-ES"/>
        </w:rPr>
        <w:t>el gobierno nacional prohíbe cualquier tipo de intervención pública sobre asentamientos informales con origen</w:t>
      </w:r>
      <w:r w:rsidR="00D059E3" w:rsidRPr="000C1688">
        <w:rPr>
          <w:rFonts w:ascii="Times New Roman" w:hAnsi="Times New Roman" w:cs="Times New Roman"/>
          <w:sz w:val="20"/>
          <w:szCs w:val="20"/>
          <w:lang w:val="es-ES"/>
        </w:rPr>
        <w:t xml:space="preserve"> posterior al 2003, así como la prestación de servicios públicos a estas áreas</w:t>
      </w:r>
      <w:r w:rsidRPr="000C1688">
        <w:rPr>
          <w:rFonts w:ascii="Times New Roman" w:hAnsi="Times New Roman" w:cs="Times New Roman"/>
          <w:sz w:val="20"/>
          <w:szCs w:val="20"/>
          <w:lang w:val="es-ES"/>
        </w:rPr>
        <w:t>.</w:t>
      </w:r>
      <w:r w:rsidR="006F1649" w:rsidRPr="000C1688">
        <w:rPr>
          <w:rFonts w:ascii="Times New Roman" w:hAnsi="Times New Roman" w:cs="Times New Roman"/>
          <w:sz w:val="20"/>
          <w:szCs w:val="20"/>
          <w:lang w:val="es-ES"/>
        </w:rPr>
        <w:t xml:space="preserve"> </w:t>
      </w:r>
      <w:r w:rsidRPr="000C1688">
        <w:rPr>
          <w:rFonts w:ascii="Times New Roman" w:hAnsi="Times New Roman" w:cs="Times New Roman"/>
          <w:b/>
          <w:bCs/>
          <w:sz w:val="20"/>
          <w:szCs w:val="20"/>
          <w:lang w:val="es-ES"/>
        </w:rPr>
        <w:t>C</w:t>
      </w:r>
      <w:r w:rsidR="006F1649" w:rsidRPr="000C1688">
        <w:rPr>
          <w:rFonts w:ascii="Times New Roman" w:hAnsi="Times New Roman" w:cs="Times New Roman"/>
          <w:sz w:val="20"/>
          <w:szCs w:val="20"/>
          <w:lang w:val="es-ES"/>
        </w:rPr>
        <w:t>)</w:t>
      </w:r>
      <w:r w:rsidRPr="000C1688">
        <w:rPr>
          <w:rFonts w:ascii="Times New Roman" w:hAnsi="Times New Roman" w:cs="Times New Roman"/>
          <w:sz w:val="20"/>
          <w:szCs w:val="20"/>
          <w:lang w:val="es-ES"/>
        </w:rPr>
        <w:t xml:space="preserve"> 2004: Bogotá aprueba el POT vigente hasta 2022, decreto 190 de 2004.</w:t>
      </w:r>
      <w:r w:rsidR="00025D8B" w:rsidRPr="000C1688">
        <w:rPr>
          <w:rFonts w:ascii="Times New Roman" w:hAnsi="Times New Roman" w:cs="Times New Roman"/>
          <w:sz w:val="20"/>
          <w:szCs w:val="20"/>
          <w:lang w:val="es-ES"/>
        </w:rPr>
        <w:t xml:space="preserve"> </w:t>
      </w:r>
      <w:r w:rsidRPr="000C1688">
        <w:rPr>
          <w:rFonts w:ascii="Times New Roman" w:hAnsi="Times New Roman" w:cs="Times New Roman"/>
          <w:b/>
          <w:bCs/>
          <w:sz w:val="20"/>
          <w:szCs w:val="20"/>
          <w:lang w:val="es-ES"/>
        </w:rPr>
        <w:t>D</w:t>
      </w:r>
      <w:r w:rsidR="006F1649" w:rsidRPr="000C1688">
        <w:rPr>
          <w:rFonts w:ascii="Times New Roman" w:hAnsi="Times New Roman" w:cs="Times New Roman"/>
          <w:sz w:val="20"/>
          <w:szCs w:val="20"/>
          <w:lang w:val="es-ES"/>
        </w:rPr>
        <w:t>)</w:t>
      </w:r>
      <w:r w:rsidR="007236BB" w:rsidRPr="000C1688">
        <w:rPr>
          <w:rFonts w:ascii="Times New Roman" w:hAnsi="Times New Roman" w:cs="Times New Roman"/>
          <w:sz w:val="20"/>
          <w:szCs w:val="20"/>
          <w:lang w:val="es-ES"/>
        </w:rPr>
        <w:t xml:space="preserve"> 2008:</w:t>
      </w:r>
      <w:r w:rsidR="006F1649" w:rsidRPr="000C1688">
        <w:rPr>
          <w:rFonts w:ascii="Times New Roman" w:hAnsi="Times New Roman" w:cs="Times New Roman"/>
          <w:sz w:val="20"/>
          <w:szCs w:val="20"/>
          <w:lang w:val="es-ES"/>
        </w:rPr>
        <w:t xml:space="preserve"> </w:t>
      </w:r>
      <w:r w:rsidR="007236BB" w:rsidRPr="000C1688">
        <w:rPr>
          <w:rFonts w:ascii="Times New Roman" w:hAnsi="Times New Roman" w:cs="Times New Roman"/>
          <w:sz w:val="20"/>
          <w:szCs w:val="20"/>
          <w:lang w:val="es-ES"/>
        </w:rPr>
        <w:t>La Corte Constitucional de Colombia declara inconstitucional la</w:t>
      </w:r>
      <w:r w:rsidR="00211E92" w:rsidRPr="000C1688">
        <w:rPr>
          <w:rFonts w:ascii="Times New Roman" w:hAnsi="Times New Roman" w:cs="Times New Roman"/>
          <w:sz w:val="20"/>
          <w:szCs w:val="20"/>
          <w:lang w:val="es-ES"/>
        </w:rPr>
        <w:t xml:space="preserve"> prohibición de intervención pública sobre asentamientos informales a través </w:t>
      </w:r>
      <w:r w:rsidR="007236BB" w:rsidRPr="000C1688">
        <w:rPr>
          <w:rFonts w:ascii="Times New Roman" w:hAnsi="Times New Roman" w:cs="Times New Roman"/>
        </w:rPr>
        <w:t>de</w:t>
      </w:r>
      <w:r w:rsidR="007236BB" w:rsidRPr="000C1688">
        <w:rPr>
          <w:rFonts w:ascii="Times New Roman" w:hAnsi="Times New Roman" w:cs="Times New Roman"/>
          <w:sz w:val="20"/>
          <w:szCs w:val="20"/>
          <w:lang w:val="es-ES"/>
        </w:rPr>
        <w:t xml:space="preserve"> la sentencia C-1189/08</w:t>
      </w:r>
      <w:r w:rsidR="0040195D" w:rsidRPr="000C1688">
        <w:rPr>
          <w:rFonts w:ascii="Times New Roman" w:hAnsi="Times New Roman" w:cs="Times New Roman"/>
          <w:sz w:val="20"/>
          <w:szCs w:val="20"/>
          <w:lang w:val="es-ES"/>
        </w:rPr>
        <w:t>.</w:t>
      </w:r>
    </w:p>
    <w:p w14:paraId="70E1BB36" w14:textId="1ED7ED7F" w:rsidR="008D1E0D" w:rsidRPr="000C1688" w:rsidRDefault="008D1E0D" w:rsidP="00A024ED">
      <w:pPr>
        <w:spacing w:line="360" w:lineRule="auto"/>
        <w:jc w:val="both"/>
        <w:rPr>
          <w:rFonts w:ascii="Times New Roman" w:hAnsi="Times New Roman" w:cs="Times New Roman"/>
          <w:sz w:val="24"/>
          <w:szCs w:val="24"/>
          <w:lang w:val="es-ES"/>
        </w:rPr>
      </w:pPr>
    </w:p>
    <w:p w14:paraId="1BDB4259" w14:textId="6B8C72D8" w:rsidR="00025D8B" w:rsidRPr="000C1688" w:rsidRDefault="00AE2D3B"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En un primer vistazo general (</w:t>
      </w:r>
      <w:r w:rsidR="00CB2601" w:rsidRPr="000C1688">
        <w:rPr>
          <w:rFonts w:ascii="Times New Roman" w:hAnsi="Times New Roman" w:cs="Times New Roman"/>
          <w:sz w:val="24"/>
          <w:szCs w:val="24"/>
          <w:lang w:val="es-ES"/>
        </w:rPr>
        <w:t>figura</w:t>
      </w:r>
      <w:r w:rsidRPr="000C1688">
        <w:rPr>
          <w:rFonts w:ascii="Times New Roman" w:hAnsi="Times New Roman" w:cs="Times New Roman"/>
          <w:sz w:val="24"/>
          <w:szCs w:val="24"/>
          <w:lang w:val="es-ES"/>
        </w:rPr>
        <w:t xml:space="preserve"> 2</w:t>
      </w:r>
      <w:r w:rsidR="00CB2601" w:rsidRPr="000C1688">
        <w:rPr>
          <w:rFonts w:ascii="Times New Roman" w:hAnsi="Times New Roman" w:cs="Times New Roman"/>
          <w:sz w:val="24"/>
          <w:szCs w:val="24"/>
          <w:lang w:val="es-ES"/>
        </w:rPr>
        <w:t>-A</w:t>
      </w:r>
      <w:r w:rsidRPr="000C1688">
        <w:rPr>
          <w:rFonts w:ascii="Times New Roman" w:hAnsi="Times New Roman" w:cs="Times New Roman"/>
          <w:sz w:val="24"/>
          <w:szCs w:val="24"/>
          <w:lang w:val="es-ES"/>
        </w:rPr>
        <w:t xml:space="preserve">), se puede observar como en efecto en las áreas legalizadas, no solo hay una menor </w:t>
      </w:r>
      <w:r w:rsidR="0088530A" w:rsidRPr="000C1688">
        <w:rPr>
          <w:rFonts w:ascii="Times New Roman" w:hAnsi="Times New Roman" w:cs="Times New Roman"/>
          <w:sz w:val="24"/>
          <w:szCs w:val="24"/>
          <w:lang w:val="es-ES"/>
        </w:rPr>
        <w:t>concentración</w:t>
      </w:r>
      <w:r w:rsidRPr="000C1688">
        <w:rPr>
          <w:rFonts w:ascii="Times New Roman" w:hAnsi="Times New Roman" w:cs="Times New Roman"/>
          <w:sz w:val="24"/>
          <w:szCs w:val="24"/>
          <w:lang w:val="es-ES"/>
        </w:rPr>
        <w:t xml:space="preserve"> de </w:t>
      </w:r>
      <w:r w:rsidR="0088530A" w:rsidRPr="000C1688">
        <w:rPr>
          <w:rFonts w:ascii="Times New Roman" w:hAnsi="Times New Roman" w:cs="Times New Roman"/>
          <w:sz w:val="24"/>
          <w:szCs w:val="24"/>
          <w:lang w:val="es-ES"/>
        </w:rPr>
        <w:t>ocupaciones</w:t>
      </w:r>
      <w:r w:rsidRPr="000C1688">
        <w:rPr>
          <w:rFonts w:ascii="Times New Roman" w:hAnsi="Times New Roman" w:cs="Times New Roman"/>
          <w:sz w:val="24"/>
          <w:szCs w:val="24"/>
          <w:lang w:val="es-ES"/>
        </w:rPr>
        <w:t xml:space="preserve"> informales, sino </w:t>
      </w:r>
      <w:r w:rsidR="0088530A" w:rsidRPr="000C1688">
        <w:rPr>
          <w:rFonts w:ascii="Times New Roman" w:hAnsi="Times New Roman" w:cs="Times New Roman"/>
          <w:sz w:val="24"/>
          <w:szCs w:val="24"/>
          <w:lang w:val="es-ES"/>
        </w:rPr>
        <w:t>que también</w:t>
      </w:r>
      <w:r w:rsidR="00E21AD0" w:rsidRPr="000C1688">
        <w:rPr>
          <w:rFonts w:ascii="Times New Roman" w:hAnsi="Times New Roman" w:cs="Times New Roman"/>
          <w:sz w:val="24"/>
          <w:szCs w:val="24"/>
          <w:lang w:val="es-ES"/>
        </w:rPr>
        <w:t xml:space="preserve"> el aumento de estas pareciera ser menos acelerado </w:t>
      </w:r>
      <w:r w:rsidR="00B444CB" w:rsidRPr="000C1688">
        <w:rPr>
          <w:rFonts w:ascii="Times New Roman" w:hAnsi="Times New Roman" w:cs="Times New Roman"/>
          <w:sz w:val="24"/>
          <w:szCs w:val="24"/>
          <w:lang w:val="es-ES"/>
        </w:rPr>
        <w:t xml:space="preserve">respecto a </w:t>
      </w:r>
      <w:r w:rsidR="00E21AD0" w:rsidRPr="000C1688">
        <w:rPr>
          <w:rFonts w:ascii="Times New Roman" w:hAnsi="Times New Roman" w:cs="Times New Roman"/>
          <w:sz w:val="24"/>
          <w:szCs w:val="24"/>
          <w:lang w:val="es-ES"/>
        </w:rPr>
        <w:t>otras zonas de la ciudad</w:t>
      </w:r>
      <w:r w:rsidR="0088530A" w:rsidRPr="000C1688">
        <w:rPr>
          <w:rFonts w:ascii="Times New Roman" w:hAnsi="Times New Roman" w:cs="Times New Roman"/>
          <w:sz w:val="24"/>
          <w:szCs w:val="24"/>
          <w:lang w:val="es-ES"/>
        </w:rPr>
        <w:t>. No obstante,</w:t>
      </w:r>
      <w:r w:rsidR="00C15688" w:rsidRPr="000C1688">
        <w:rPr>
          <w:rFonts w:ascii="Times New Roman" w:hAnsi="Times New Roman" w:cs="Times New Roman"/>
          <w:sz w:val="24"/>
          <w:szCs w:val="24"/>
          <w:lang w:val="es-ES"/>
        </w:rPr>
        <w:t xml:space="preserve"> si miramos más a detalle (</w:t>
      </w:r>
      <w:r w:rsidR="00CB2601" w:rsidRPr="000C1688">
        <w:rPr>
          <w:rFonts w:ascii="Times New Roman" w:hAnsi="Times New Roman" w:cs="Times New Roman"/>
          <w:sz w:val="24"/>
          <w:szCs w:val="24"/>
          <w:lang w:val="es-ES"/>
        </w:rPr>
        <w:t xml:space="preserve">figura </w:t>
      </w:r>
      <w:r w:rsidR="00C15688" w:rsidRPr="000C1688">
        <w:rPr>
          <w:rFonts w:ascii="Times New Roman" w:hAnsi="Times New Roman" w:cs="Times New Roman"/>
          <w:sz w:val="24"/>
          <w:szCs w:val="24"/>
          <w:lang w:val="es-ES"/>
        </w:rPr>
        <w:t>2</w:t>
      </w:r>
      <w:r w:rsidR="00CB2601" w:rsidRPr="000C1688">
        <w:rPr>
          <w:rFonts w:ascii="Times New Roman" w:hAnsi="Times New Roman" w:cs="Times New Roman"/>
          <w:sz w:val="24"/>
          <w:szCs w:val="24"/>
          <w:lang w:val="es-ES"/>
        </w:rPr>
        <w:t>-B</w:t>
      </w:r>
      <w:r w:rsidR="00C15688" w:rsidRPr="000C1688">
        <w:rPr>
          <w:rFonts w:ascii="Times New Roman" w:hAnsi="Times New Roman" w:cs="Times New Roman"/>
          <w:sz w:val="24"/>
          <w:szCs w:val="24"/>
          <w:lang w:val="es-ES"/>
        </w:rPr>
        <w:t xml:space="preserve">), se puede ver que es en las zonas aledañas a estas legalizaciones, en donde más </w:t>
      </w:r>
      <w:r w:rsidR="00B444CB" w:rsidRPr="000C1688">
        <w:rPr>
          <w:rFonts w:ascii="Times New Roman" w:hAnsi="Times New Roman" w:cs="Times New Roman"/>
          <w:sz w:val="24"/>
          <w:szCs w:val="24"/>
          <w:lang w:val="es-ES"/>
        </w:rPr>
        <w:t>h</w:t>
      </w:r>
      <w:r w:rsidR="00C15688" w:rsidRPr="000C1688">
        <w:rPr>
          <w:rFonts w:ascii="Times New Roman" w:hAnsi="Times New Roman" w:cs="Times New Roman"/>
          <w:sz w:val="24"/>
          <w:szCs w:val="24"/>
          <w:lang w:val="es-ES"/>
        </w:rPr>
        <w:t xml:space="preserve">a aumentado el número de ocupaciones informales desde el 2005 (año desde el cual hay información disponible de asentamientos ilegales/informales). </w:t>
      </w:r>
      <w:r w:rsidRPr="000C1688">
        <w:rPr>
          <w:rFonts w:ascii="Times New Roman" w:hAnsi="Times New Roman" w:cs="Times New Roman"/>
          <w:sz w:val="24"/>
          <w:szCs w:val="24"/>
          <w:lang w:val="es-ES"/>
        </w:rPr>
        <w:t>De este modo la pregunta que busca responder este artículo es ¿ha generado la legalización de barrios en Bogotá, efectos adversos sobre la expansión de los asentamientos ilegales/informales?</w:t>
      </w:r>
      <w:r w:rsidR="00C15688" w:rsidRPr="000C1688">
        <w:rPr>
          <w:rFonts w:ascii="Times New Roman" w:hAnsi="Times New Roman" w:cs="Times New Roman"/>
          <w:sz w:val="24"/>
          <w:szCs w:val="24"/>
          <w:lang w:val="es-ES"/>
        </w:rPr>
        <w:t xml:space="preserve"> </w:t>
      </w:r>
      <w:r w:rsidR="00E25420" w:rsidRPr="000C1688">
        <w:rPr>
          <w:rFonts w:ascii="Times New Roman" w:hAnsi="Times New Roman" w:cs="Times New Roman"/>
          <w:sz w:val="24"/>
          <w:szCs w:val="24"/>
          <w:lang w:val="es-ES"/>
        </w:rPr>
        <w:t>Y, si estos efectos existen ¿</w:t>
      </w:r>
      <w:r w:rsidR="00783C0B" w:rsidRPr="000C1688">
        <w:rPr>
          <w:rFonts w:ascii="Times New Roman" w:hAnsi="Times New Roman" w:cs="Times New Roman"/>
          <w:sz w:val="24"/>
          <w:szCs w:val="24"/>
          <w:lang w:val="es-ES"/>
        </w:rPr>
        <w:t>variaron dado el levantamiento de las restricciones impuestas por las altas cortes en 2008</w:t>
      </w:r>
      <w:r w:rsidR="00E25420" w:rsidRPr="000C1688">
        <w:rPr>
          <w:rFonts w:ascii="Times New Roman" w:hAnsi="Times New Roman" w:cs="Times New Roman"/>
          <w:sz w:val="24"/>
          <w:szCs w:val="24"/>
          <w:lang w:val="es-ES"/>
        </w:rPr>
        <w:t xml:space="preserve">? </w:t>
      </w:r>
      <w:r w:rsidR="00025D8B" w:rsidRPr="000C1688">
        <w:rPr>
          <w:rFonts w:ascii="Times New Roman" w:hAnsi="Times New Roman" w:cs="Times New Roman"/>
          <w:sz w:val="24"/>
          <w:szCs w:val="24"/>
          <w:lang w:val="es-ES"/>
        </w:rPr>
        <w:t>En otras palabras ¿Qué en 2008 las cortes eliminaran la prohibición de legalizar asentamientos posteriores a 2003 generó incentivos a la aparición de nuevas ocupaciones informales en la ciudad?</w:t>
      </w:r>
    </w:p>
    <w:p w14:paraId="2ADA38EC" w14:textId="77777777" w:rsidR="00CB2601" w:rsidRPr="000C1688" w:rsidRDefault="00A1139B" w:rsidP="00A024ED">
      <w:pPr>
        <w:keepNext/>
        <w:spacing w:line="360" w:lineRule="auto"/>
        <w:jc w:val="center"/>
        <w:rPr>
          <w:rFonts w:ascii="Times New Roman" w:hAnsi="Times New Roman" w:cs="Times New Roman"/>
          <w:sz w:val="24"/>
          <w:szCs w:val="24"/>
        </w:rPr>
      </w:pPr>
      <w:r w:rsidRPr="000C1688">
        <w:rPr>
          <w:rFonts w:ascii="Times New Roman" w:hAnsi="Times New Roman" w:cs="Times New Roman"/>
          <w:noProof/>
          <w:sz w:val="24"/>
          <w:szCs w:val="24"/>
        </w:rPr>
        <w:lastRenderedPageBreak/>
        <w:drawing>
          <wp:inline distT="0" distB="0" distL="0" distR="0" wp14:anchorId="15D19345" wp14:editId="240B7836">
            <wp:extent cx="6286500" cy="34922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0599" cy="3494512"/>
                    </a:xfrm>
                    <a:prstGeom prst="rect">
                      <a:avLst/>
                    </a:prstGeom>
                    <a:noFill/>
                    <a:ln>
                      <a:noFill/>
                    </a:ln>
                  </pic:spPr>
                </pic:pic>
              </a:graphicData>
            </a:graphic>
          </wp:inline>
        </w:drawing>
      </w:r>
    </w:p>
    <w:p w14:paraId="13348DF6" w14:textId="73ACA4AF" w:rsidR="00C15688" w:rsidRPr="000C1688" w:rsidRDefault="00CB2601" w:rsidP="00A024ED">
      <w:pPr>
        <w:pStyle w:val="Caption"/>
        <w:jc w:val="center"/>
        <w:rPr>
          <w:rFonts w:ascii="Times New Roman" w:hAnsi="Times New Roman" w:cs="Times New Roman"/>
          <w:color w:val="000000" w:themeColor="text1"/>
          <w:sz w:val="24"/>
          <w:szCs w:val="24"/>
        </w:rPr>
      </w:pPr>
      <w:r w:rsidRPr="000C1688">
        <w:rPr>
          <w:rFonts w:ascii="Times New Roman" w:hAnsi="Times New Roman" w:cs="Times New Roman"/>
          <w:color w:val="000000" w:themeColor="text1"/>
          <w:sz w:val="24"/>
          <w:szCs w:val="24"/>
        </w:rPr>
        <w:t>Figur</w:t>
      </w:r>
      <w:r w:rsidR="003B1980" w:rsidRPr="000C1688">
        <w:rPr>
          <w:rFonts w:ascii="Times New Roman" w:hAnsi="Times New Roman" w:cs="Times New Roman"/>
          <w:color w:val="000000" w:themeColor="text1"/>
          <w:sz w:val="24"/>
          <w:szCs w:val="24"/>
        </w:rPr>
        <w:t>a</w:t>
      </w:r>
      <w:r w:rsidRPr="000C1688">
        <w:rPr>
          <w:rFonts w:ascii="Times New Roman" w:hAnsi="Times New Roman" w:cs="Times New Roman"/>
          <w:color w:val="000000" w:themeColor="text1"/>
          <w:sz w:val="24"/>
          <w:szCs w:val="24"/>
        </w:rPr>
        <w:t xml:space="preserve"> </w:t>
      </w:r>
      <w:r w:rsidRPr="000C1688">
        <w:rPr>
          <w:rFonts w:ascii="Times New Roman" w:hAnsi="Times New Roman" w:cs="Times New Roman"/>
          <w:color w:val="000000" w:themeColor="text1"/>
          <w:sz w:val="24"/>
          <w:szCs w:val="24"/>
        </w:rPr>
        <w:fldChar w:fldCharType="begin"/>
      </w:r>
      <w:r w:rsidRPr="000C1688">
        <w:rPr>
          <w:rFonts w:ascii="Times New Roman" w:hAnsi="Times New Roman" w:cs="Times New Roman"/>
          <w:color w:val="000000" w:themeColor="text1"/>
          <w:sz w:val="24"/>
          <w:szCs w:val="24"/>
        </w:rPr>
        <w:instrText xml:space="preserve"> SEQ Figura \* ARABIC </w:instrText>
      </w:r>
      <w:r w:rsidRPr="000C1688">
        <w:rPr>
          <w:rFonts w:ascii="Times New Roman" w:hAnsi="Times New Roman" w:cs="Times New Roman"/>
          <w:color w:val="000000" w:themeColor="text1"/>
          <w:sz w:val="24"/>
          <w:szCs w:val="24"/>
        </w:rPr>
        <w:fldChar w:fldCharType="separate"/>
      </w:r>
      <w:r w:rsidR="00C22E69" w:rsidRPr="000C1688">
        <w:rPr>
          <w:rFonts w:ascii="Times New Roman" w:hAnsi="Times New Roman" w:cs="Times New Roman"/>
          <w:noProof/>
          <w:color w:val="000000" w:themeColor="text1"/>
          <w:sz w:val="24"/>
          <w:szCs w:val="24"/>
        </w:rPr>
        <w:t>2</w:t>
      </w:r>
      <w:r w:rsidRPr="000C1688">
        <w:rPr>
          <w:rFonts w:ascii="Times New Roman" w:hAnsi="Times New Roman" w:cs="Times New Roman"/>
          <w:color w:val="000000" w:themeColor="text1"/>
          <w:sz w:val="24"/>
          <w:szCs w:val="24"/>
        </w:rPr>
        <w:fldChar w:fldCharType="end"/>
      </w:r>
      <w:r w:rsidRPr="000C1688">
        <w:rPr>
          <w:rFonts w:ascii="Times New Roman" w:hAnsi="Times New Roman" w:cs="Times New Roman"/>
          <w:color w:val="000000" w:themeColor="text1"/>
          <w:sz w:val="24"/>
          <w:szCs w:val="24"/>
        </w:rPr>
        <w:t xml:space="preserve">. </w:t>
      </w:r>
      <w:r w:rsidR="003B1980" w:rsidRPr="000C1688">
        <w:rPr>
          <w:rFonts w:ascii="Times New Roman" w:hAnsi="Times New Roman" w:cs="Times New Roman"/>
          <w:color w:val="000000" w:themeColor="text1"/>
          <w:sz w:val="24"/>
          <w:szCs w:val="24"/>
        </w:rPr>
        <w:t>Evolución de las ocupaciones informales en Bogotá entre 2005 y 2019</w:t>
      </w:r>
      <w:r w:rsidRPr="000C1688">
        <w:rPr>
          <w:rFonts w:ascii="Times New Roman" w:hAnsi="Times New Roman" w:cs="Times New Roman"/>
          <w:color w:val="000000" w:themeColor="text1"/>
          <w:sz w:val="24"/>
          <w:szCs w:val="24"/>
        </w:rPr>
        <w:t>.</w:t>
      </w:r>
    </w:p>
    <w:p w14:paraId="0834A558" w14:textId="77777777" w:rsidR="00367DF7" w:rsidRPr="000C1688" w:rsidRDefault="00367DF7" w:rsidP="00A024ED">
      <w:pPr>
        <w:spacing w:line="360" w:lineRule="auto"/>
        <w:jc w:val="both"/>
        <w:rPr>
          <w:rFonts w:ascii="Times New Roman" w:hAnsi="Times New Roman" w:cs="Times New Roman"/>
          <w:sz w:val="24"/>
          <w:szCs w:val="24"/>
          <w:lang w:val="es-ES"/>
        </w:rPr>
      </w:pPr>
    </w:p>
    <w:p w14:paraId="7BD43F16" w14:textId="7C6E3889" w:rsidR="00AE2D3B" w:rsidRPr="000C1688" w:rsidRDefault="00367DF7"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Para resolver estas preguntas, reconstruimos una base de datos espacial con los principales cambios geográficos de la ciudad en los últimos 16 años (2005-2021) en materia de crecimiento informal, infraestructura </w:t>
      </w:r>
      <w:r w:rsidR="003C4EA3" w:rsidRPr="000C1688">
        <w:rPr>
          <w:rFonts w:ascii="Times New Roman" w:hAnsi="Times New Roman" w:cs="Times New Roman"/>
          <w:sz w:val="24"/>
          <w:szCs w:val="24"/>
          <w:lang w:val="es-ES"/>
        </w:rPr>
        <w:t>y programas de intervención en barrios informales como la legalización de barrios. Para la estimación de los efectos causales, utilizamos un modelo de diferencias en diferencias agrupadas doblemente robustas, basados en la metodología de CITAS,</w:t>
      </w:r>
      <w:r w:rsidR="00673F2A" w:rsidRPr="000C1688">
        <w:rPr>
          <w:rFonts w:ascii="Times New Roman" w:hAnsi="Times New Roman" w:cs="Times New Roman"/>
          <w:sz w:val="24"/>
          <w:szCs w:val="24"/>
          <w:lang w:val="es-ES"/>
        </w:rPr>
        <w:t xml:space="preserve"> y</w:t>
      </w:r>
      <w:r w:rsidR="003C4EA3" w:rsidRPr="000C1688">
        <w:rPr>
          <w:rFonts w:ascii="Times New Roman" w:hAnsi="Times New Roman" w:cs="Times New Roman"/>
          <w:sz w:val="24"/>
          <w:szCs w:val="24"/>
          <w:lang w:val="es-ES"/>
        </w:rPr>
        <w:t xml:space="preserve"> teniendo en cuenta tanto las dinámicas de anticipación del tratamiento de legalización</w:t>
      </w:r>
      <w:r w:rsidR="00673F2A" w:rsidRPr="000C1688">
        <w:rPr>
          <w:rFonts w:ascii="Times New Roman" w:hAnsi="Times New Roman" w:cs="Times New Roman"/>
          <w:sz w:val="24"/>
          <w:szCs w:val="24"/>
          <w:lang w:val="es-ES"/>
        </w:rPr>
        <w:t xml:space="preserve">, como los </w:t>
      </w:r>
      <w:proofErr w:type="spellStart"/>
      <w:r w:rsidR="00673F2A" w:rsidRPr="000C1688">
        <w:rPr>
          <w:rFonts w:ascii="Times New Roman" w:hAnsi="Times New Roman" w:cs="Times New Roman"/>
          <w:i/>
          <w:iCs/>
          <w:sz w:val="24"/>
          <w:szCs w:val="24"/>
          <w:lang w:val="es-ES"/>
        </w:rPr>
        <w:t>sipllovers</w:t>
      </w:r>
      <w:proofErr w:type="spellEnd"/>
      <w:r w:rsidR="00673F2A" w:rsidRPr="000C1688">
        <w:rPr>
          <w:rFonts w:ascii="Times New Roman" w:hAnsi="Times New Roman" w:cs="Times New Roman"/>
          <w:sz w:val="24"/>
          <w:szCs w:val="24"/>
          <w:lang w:val="es-ES"/>
        </w:rPr>
        <w:t xml:space="preserve"> geográficos de la política</w:t>
      </w:r>
      <w:r w:rsidR="00D200C8" w:rsidRPr="000C1688">
        <w:rPr>
          <w:rFonts w:ascii="Times New Roman" w:hAnsi="Times New Roman" w:cs="Times New Roman"/>
          <w:sz w:val="24"/>
          <w:szCs w:val="24"/>
          <w:lang w:val="es-ES"/>
        </w:rPr>
        <w:t xml:space="preserve"> siguiendo la metodología propuesta por CITAS</w:t>
      </w:r>
      <w:r w:rsidR="00673F2A" w:rsidRPr="000C1688">
        <w:rPr>
          <w:rFonts w:ascii="Times New Roman" w:hAnsi="Times New Roman" w:cs="Times New Roman"/>
          <w:sz w:val="24"/>
          <w:szCs w:val="24"/>
          <w:lang w:val="es-ES"/>
        </w:rPr>
        <w:t xml:space="preserve">. Encontramos que … (hallazgos generales). Igualmente, identificamos que la </w:t>
      </w:r>
      <w:r w:rsidR="00805F9E" w:rsidRPr="000C1688">
        <w:rPr>
          <w:rFonts w:ascii="Times New Roman" w:hAnsi="Times New Roman" w:cs="Times New Roman"/>
          <w:sz w:val="24"/>
          <w:szCs w:val="24"/>
          <w:lang w:val="es-ES"/>
        </w:rPr>
        <w:t xml:space="preserve">eliminación de la restricción </w:t>
      </w:r>
      <w:r w:rsidR="00673F2A" w:rsidRPr="000C1688">
        <w:rPr>
          <w:rFonts w:ascii="Times New Roman" w:hAnsi="Times New Roman" w:cs="Times New Roman"/>
          <w:sz w:val="24"/>
          <w:szCs w:val="24"/>
          <w:lang w:val="es-ES"/>
        </w:rPr>
        <w:t>de la Corte Constitucional … (hallazgos específicos – resumen de la comparación efectos 2005-2008 VS 2009-2019).</w:t>
      </w:r>
    </w:p>
    <w:p w14:paraId="796038DD" w14:textId="0BE6F4E1" w:rsidR="009837EB" w:rsidRPr="000C1688" w:rsidRDefault="00B23ACC"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Ciertamente, aunque escasa,</w:t>
      </w:r>
      <w:r w:rsidR="00D200C8" w:rsidRPr="000C1688">
        <w:rPr>
          <w:rFonts w:ascii="Times New Roman" w:hAnsi="Times New Roman" w:cs="Times New Roman"/>
          <w:sz w:val="24"/>
          <w:szCs w:val="24"/>
          <w:lang w:val="es-ES"/>
        </w:rPr>
        <w:t xml:space="preserve"> </w:t>
      </w:r>
      <w:r w:rsidRPr="000C1688">
        <w:rPr>
          <w:rFonts w:ascii="Times New Roman" w:hAnsi="Times New Roman" w:cs="Times New Roman"/>
          <w:sz w:val="24"/>
          <w:szCs w:val="24"/>
          <w:lang w:val="es-ES"/>
        </w:rPr>
        <w:t>hoy</w:t>
      </w:r>
      <w:r w:rsidR="00D200C8" w:rsidRPr="000C1688">
        <w:rPr>
          <w:rFonts w:ascii="Times New Roman" w:hAnsi="Times New Roman" w:cs="Times New Roman"/>
          <w:sz w:val="24"/>
          <w:szCs w:val="24"/>
          <w:lang w:val="es-ES"/>
        </w:rPr>
        <w:t xml:space="preserve"> es posible encontrar literatura sobre el estudio de los efectos empíricos de las intervenciones en asentamientos informales. La mayoría de estos estudios se concentran en tres </w:t>
      </w:r>
      <w:r w:rsidRPr="000C1688">
        <w:rPr>
          <w:rFonts w:ascii="Times New Roman" w:hAnsi="Times New Roman" w:cs="Times New Roman"/>
          <w:sz w:val="24"/>
          <w:szCs w:val="24"/>
          <w:lang w:val="es-ES"/>
        </w:rPr>
        <w:t>temas</w:t>
      </w:r>
      <w:r w:rsidR="00D200C8" w:rsidRPr="000C1688">
        <w:rPr>
          <w:rFonts w:ascii="Times New Roman" w:hAnsi="Times New Roman" w:cs="Times New Roman"/>
          <w:sz w:val="24"/>
          <w:szCs w:val="24"/>
          <w:lang w:val="es-ES"/>
        </w:rPr>
        <w:t xml:space="preserve"> principalmente:</w:t>
      </w:r>
      <w:r w:rsidR="0029026B" w:rsidRPr="000C1688">
        <w:rPr>
          <w:rFonts w:ascii="Times New Roman" w:hAnsi="Times New Roman" w:cs="Times New Roman"/>
          <w:sz w:val="24"/>
          <w:szCs w:val="24"/>
          <w:lang w:val="es-ES"/>
        </w:rPr>
        <w:t xml:space="preserve"> en el análisis de los efectos de las intervenciones en la salud de los hogares (CITAS), en los efectos sobre el desarrollo económico y el empleo de los barrios (CITAS), y algunos otros pocos en los cambios en los patrones de construcción y precios del suelo (CITAS). Sin embargo, la mayor parte de estos estudios se </w:t>
      </w:r>
      <w:r w:rsidR="0029026B" w:rsidRPr="000C1688">
        <w:rPr>
          <w:rFonts w:ascii="Times New Roman" w:hAnsi="Times New Roman" w:cs="Times New Roman"/>
          <w:sz w:val="24"/>
          <w:szCs w:val="24"/>
          <w:lang w:val="es-ES"/>
        </w:rPr>
        <w:lastRenderedPageBreak/>
        <w:t xml:space="preserve">enfocan en intervenciones físicas en los asentamientos (exceptuando CITA), mientras que </w:t>
      </w:r>
      <w:r w:rsidRPr="000C1688">
        <w:rPr>
          <w:rFonts w:ascii="Times New Roman" w:hAnsi="Times New Roman" w:cs="Times New Roman"/>
          <w:sz w:val="24"/>
          <w:szCs w:val="24"/>
          <w:lang w:val="es-ES"/>
        </w:rPr>
        <w:t>nuestro artículo analiza</w:t>
      </w:r>
      <w:r w:rsidR="0029026B" w:rsidRPr="000C1688">
        <w:rPr>
          <w:rFonts w:ascii="Times New Roman" w:hAnsi="Times New Roman" w:cs="Times New Roman"/>
          <w:sz w:val="24"/>
          <w:szCs w:val="24"/>
          <w:lang w:val="es-ES"/>
        </w:rPr>
        <w:t xml:space="preserve"> cambios en el estatus legal, y comportamientos en los agentes derivados de la anticipación de estos cambios.</w:t>
      </w:r>
      <w:r w:rsidRPr="000C1688">
        <w:rPr>
          <w:rFonts w:ascii="Times New Roman" w:hAnsi="Times New Roman" w:cs="Times New Roman"/>
          <w:sz w:val="24"/>
          <w:szCs w:val="24"/>
          <w:lang w:val="es-ES"/>
        </w:rPr>
        <w:t xml:space="preserve"> Por otro lado, la literatura existente se concentra en revisar efectos positivos, ignorando la existencia de efectos adversos de los programas. Finalmente (exceptuando CITA), en la literatura existente no se evalúa la heterogeneidad de esos efectos a lo largo del tiempo, ni como estos efectos pueden interactuar con cambios en las normas regulatorias de las políticas, como se propone es el presen artículo.</w:t>
      </w:r>
    </w:p>
    <w:p w14:paraId="71C264F2" w14:textId="77777777" w:rsidR="009837EB" w:rsidRPr="000C1688" w:rsidRDefault="009837EB" w:rsidP="00A024ED">
      <w:pPr>
        <w:spacing w:line="360" w:lineRule="auto"/>
        <w:jc w:val="both"/>
        <w:rPr>
          <w:rFonts w:ascii="Times New Roman" w:hAnsi="Times New Roman" w:cs="Times New Roman"/>
          <w:sz w:val="24"/>
          <w:szCs w:val="24"/>
          <w:lang w:val="es-ES"/>
        </w:rPr>
      </w:pPr>
    </w:p>
    <w:p w14:paraId="6C88C370" w14:textId="27B599EE" w:rsidR="00A024ED" w:rsidRPr="000C1688" w:rsidRDefault="00ED7844" w:rsidP="00A024ED">
      <w:pPr>
        <w:pStyle w:val="Heading1"/>
        <w:rPr>
          <w:rFonts w:cs="Times New Roman"/>
          <w:lang w:val="es-ES"/>
        </w:rPr>
      </w:pPr>
      <w:r w:rsidRPr="000C1688">
        <w:rPr>
          <w:rFonts w:cs="Times New Roman"/>
          <w:lang w:val="es-ES"/>
        </w:rPr>
        <w:t>Contexto</w:t>
      </w:r>
    </w:p>
    <w:p w14:paraId="3FDE7357" w14:textId="25A9289E" w:rsidR="004B4C39" w:rsidRPr="000C1688" w:rsidRDefault="005228B4" w:rsidP="00A024ED">
      <w:pPr>
        <w:spacing w:line="360" w:lineRule="auto"/>
        <w:jc w:val="both"/>
        <w:rPr>
          <w:rFonts w:ascii="Times New Roman" w:hAnsi="Times New Roman" w:cs="Times New Roman"/>
          <w:b/>
          <w:bCs/>
          <w:sz w:val="24"/>
          <w:szCs w:val="24"/>
          <w:lang w:val="es-ES"/>
        </w:rPr>
      </w:pPr>
      <w:r w:rsidRPr="000C1688">
        <w:rPr>
          <w:rFonts w:ascii="Times New Roman" w:hAnsi="Times New Roman" w:cs="Times New Roman"/>
          <w:b/>
          <w:bCs/>
          <w:sz w:val="24"/>
          <w:szCs w:val="24"/>
          <w:lang w:val="es-ES"/>
        </w:rPr>
        <w:t>Origen gestión de la informalidad urbana en Bogotá:</w:t>
      </w:r>
    </w:p>
    <w:p w14:paraId="36AF758B" w14:textId="0140867C" w:rsidR="00F3608C" w:rsidRPr="000C1688" w:rsidRDefault="00F3608C"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1940 </w:t>
      </w:r>
      <w:proofErr w:type="spellStart"/>
      <w:r w:rsidRPr="000C1688">
        <w:rPr>
          <w:rFonts w:ascii="Times New Roman" w:hAnsi="Times New Roman" w:cs="Times New Roman"/>
          <w:sz w:val="24"/>
          <w:szCs w:val="24"/>
          <w:lang w:val="es-ES"/>
        </w:rPr>
        <w:t>expulsiión</w:t>
      </w:r>
      <w:proofErr w:type="spellEnd"/>
      <w:r w:rsidRPr="000C1688">
        <w:rPr>
          <w:rFonts w:ascii="Times New Roman" w:hAnsi="Times New Roman" w:cs="Times New Roman"/>
          <w:sz w:val="24"/>
          <w:szCs w:val="24"/>
          <w:lang w:val="es-ES"/>
        </w:rPr>
        <w:t xml:space="preserve"> de la expansión (revisar en que </w:t>
      </w:r>
      <w:proofErr w:type="spellStart"/>
      <w:r w:rsidRPr="000C1688">
        <w:rPr>
          <w:rFonts w:ascii="Times New Roman" w:hAnsi="Times New Roman" w:cs="Times New Roman"/>
          <w:sz w:val="24"/>
          <w:szCs w:val="24"/>
          <w:lang w:val="es-ES"/>
        </w:rPr>
        <w:t>consitio</w:t>
      </w:r>
      <w:proofErr w:type="spellEnd"/>
      <w:r w:rsidRPr="000C1688">
        <w:rPr>
          <w:rFonts w:ascii="Times New Roman" w:hAnsi="Times New Roman" w:cs="Times New Roman"/>
          <w:sz w:val="24"/>
          <w:szCs w:val="24"/>
          <w:lang w:val="es-ES"/>
        </w:rPr>
        <w:t>)</w:t>
      </w:r>
    </w:p>
    <w:p w14:paraId="741428CA" w14:textId="754018CB" w:rsidR="004B4C39" w:rsidRPr="000C1688" w:rsidRDefault="00F3608C"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1950 y 1960 la población se vuelve de origen predominantemente migrante</w:t>
      </w:r>
    </w:p>
    <w:p w14:paraId="3704139D" w14:textId="53324FCC" w:rsidR="00F3608C" w:rsidRPr="000C1688" w:rsidRDefault="00F3608C"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Fondo de Sustitución de Tu-</w:t>
      </w:r>
      <w:proofErr w:type="spellStart"/>
      <w:r w:rsidRPr="000C1688">
        <w:rPr>
          <w:rFonts w:ascii="Times New Roman" w:hAnsi="Times New Roman" w:cs="Times New Roman"/>
          <w:sz w:val="24"/>
          <w:szCs w:val="24"/>
          <w:lang w:val="es-ES"/>
        </w:rPr>
        <w:t>gurios</w:t>
      </w:r>
      <w:proofErr w:type="spellEnd"/>
      <w:r w:rsidRPr="000C1688">
        <w:rPr>
          <w:rFonts w:ascii="Times New Roman" w:hAnsi="Times New Roman" w:cs="Times New Roman"/>
          <w:sz w:val="24"/>
          <w:szCs w:val="24"/>
          <w:lang w:val="es-ES"/>
        </w:rPr>
        <w:t>, por medio del Acuerdo 27 de 1966</w:t>
      </w:r>
      <w:r w:rsidRPr="000C1688">
        <w:rPr>
          <w:rFonts w:ascii="Times New Roman" w:hAnsi="Times New Roman" w:cs="Times New Roman"/>
          <w:sz w:val="24"/>
          <w:szCs w:val="24"/>
          <w:lang w:val="es-ES"/>
        </w:rPr>
        <w:t xml:space="preserve">: Escaso, y los </w:t>
      </w:r>
      <w:proofErr w:type="spellStart"/>
      <w:proofErr w:type="gramStart"/>
      <w:r w:rsidRPr="000C1688">
        <w:rPr>
          <w:rFonts w:ascii="Times New Roman" w:hAnsi="Times New Roman" w:cs="Times New Roman"/>
          <w:sz w:val="24"/>
          <w:szCs w:val="24"/>
          <w:lang w:val="es-ES"/>
        </w:rPr>
        <w:t>fo,entos</w:t>
      </w:r>
      <w:proofErr w:type="spellEnd"/>
      <w:proofErr w:type="gramEnd"/>
      <w:r w:rsidRPr="000C1688">
        <w:rPr>
          <w:rFonts w:ascii="Times New Roman" w:hAnsi="Times New Roman" w:cs="Times New Roman"/>
          <w:sz w:val="24"/>
          <w:szCs w:val="24"/>
          <w:lang w:val="es-ES"/>
        </w:rPr>
        <w:t xml:space="preserve"> a la industria regular de vivienda no tuvieron en cuenta la reducida capacidad adquisitiva de las personas</w:t>
      </w:r>
    </w:p>
    <w:p w14:paraId="4C2C223F" w14:textId="6E1051A9" w:rsidR="005228B4" w:rsidRPr="000C1688" w:rsidRDefault="005228B4"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Los 4 programas previos al plan de </w:t>
      </w:r>
      <w:proofErr w:type="spellStart"/>
      <w:r w:rsidRPr="000C1688">
        <w:rPr>
          <w:rFonts w:ascii="Times New Roman" w:hAnsi="Times New Roman" w:cs="Times New Roman"/>
          <w:sz w:val="24"/>
          <w:szCs w:val="24"/>
          <w:lang w:val="es-ES"/>
        </w:rPr>
        <w:t>ordentamiento</w:t>
      </w:r>
      <w:proofErr w:type="spellEnd"/>
      <w:r w:rsidRPr="000C1688">
        <w:rPr>
          <w:rFonts w:ascii="Times New Roman" w:hAnsi="Times New Roman" w:cs="Times New Roman"/>
          <w:sz w:val="24"/>
          <w:szCs w:val="24"/>
          <w:lang w:val="es-ES"/>
        </w:rPr>
        <w:t xml:space="preserve"> territorial</w:t>
      </w:r>
    </w:p>
    <w:p w14:paraId="0319AB06" w14:textId="56CF9292" w:rsidR="0028444B" w:rsidRPr="000C1688" w:rsidRDefault="0028444B"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El POT</w:t>
      </w:r>
    </w:p>
    <w:p w14:paraId="7436D104" w14:textId="4C34CF7F" w:rsidR="0028444B" w:rsidRPr="000C1688" w:rsidRDefault="0028444B" w:rsidP="00A024ED">
      <w:pPr>
        <w:spacing w:line="360" w:lineRule="auto"/>
        <w:ind w:left="360"/>
        <w:jc w:val="both"/>
        <w:rPr>
          <w:rFonts w:ascii="Times New Roman" w:hAnsi="Times New Roman" w:cs="Times New Roman"/>
          <w:sz w:val="24"/>
          <w:szCs w:val="24"/>
          <w:lang w:val="es-ES"/>
        </w:rPr>
      </w:pPr>
    </w:p>
    <w:p w14:paraId="21092251" w14:textId="76763578" w:rsidR="0028444B" w:rsidRPr="000C1688" w:rsidRDefault="0028444B" w:rsidP="00A024ED">
      <w:pPr>
        <w:spacing w:line="360" w:lineRule="auto"/>
        <w:ind w:left="360"/>
        <w:jc w:val="center"/>
        <w:rPr>
          <w:rFonts w:ascii="Times New Roman" w:hAnsi="Times New Roman" w:cs="Times New Roman"/>
          <w:b/>
          <w:bCs/>
          <w:sz w:val="24"/>
          <w:szCs w:val="24"/>
          <w:lang w:val="es-ES"/>
        </w:rPr>
      </w:pPr>
      <w:r w:rsidRPr="000C1688">
        <w:rPr>
          <w:rFonts w:ascii="Times New Roman" w:hAnsi="Times New Roman" w:cs="Times New Roman"/>
          <w:noProof/>
          <w:sz w:val="24"/>
          <w:szCs w:val="24"/>
          <w:lang w:val="es-ES"/>
        </w:rPr>
        <w:drawing>
          <wp:inline distT="0" distB="0" distL="0" distR="0" wp14:anchorId="2FEE37B4" wp14:editId="61152760">
            <wp:extent cx="3407229" cy="25552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7501" cy="2562964"/>
                    </a:xfrm>
                    <a:prstGeom prst="rect">
                      <a:avLst/>
                    </a:prstGeom>
                    <a:noFill/>
                    <a:ln>
                      <a:noFill/>
                    </a:ln>
                  </pic:spPr>
                </pic:pic>
              </a:graphicData>
            </a:graphic>
          </wp:inline>
        </w:drawing>
      </w:r>
    </w:p>
    <w:p w14:paraId="76C0CCF8" w14:textId="2D604893" w:rsidR="005228B4" w:rsidRPr="000C1688" w:rsidRDefault="005228B4"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El mercado informal y algunas hipótesis sobre el comportamiento de los </w:t>
      </w:r>
      <w:proofErr w:type="spellStart"/>
      <w:r w:rsidRPr="000C1688">
        <w:rPr>
          <w:rFonts w:ascii="Times New Roman" w:hAnsi="Times New Roman" w:cs="Times New Roman"/>
          <w:sz w:val="24"/>
          <w:szCs w:val="24"/>
          <w:lang w:val="es-ES"/>
        </w:rPr>
        <w:t>agetes</w:t>
      </w:r>
      <w:proofErr w:type="spellEnd"/>
      <w:r w:rsidRPr="000C1688">
        <w:rPr>
          <w:rFonts w:ascii="Times New Roman" w:hAnsi="Times New Roman" w:cs="Times New Roman"/>
          <w:sz w:val="24"/>
          <w:szCs w:val="24"/>
          <w:lang w:val="es-ES"/>
        </w:rPr>
        <w:t xml:space="preserve"> (endogeneidad entre legalización y crecimiento informal)</w:t>
      </w:r>
    </w:p>
    <w:p w14:paraId="2E5E4D2C" w14:textId="711BDFAA" w:rsidR="005228B4" w:rsidRPr="000C1688" w:rsidRDefault="005228B4" w:rsidP="00A024ED">
      <w:pPr>
        <w:spacing w:line="360" w:lineRule="auto"/>
        <w:jc w:val="both"/>
        <w:rPr>
          <w:rFonts w:ascii="Times New Roman" w:hAnsi="Times New Roman" w:cs="Times New Roman"/>
          <w:sz w:val="24"/>
          <w:szCs w:val="24"/>
          <w:lang w:val="es-ES"/>
        </w:rPr>
      </w:pPr>
    </w:p>
    <w:p w14:paraId="55606E93" w14:textId="6BC0816E" w:rsidR="005228B4" w:rsidRPr="000C1688" w:rsidRDefault="005228B4" w:rsidP="00A024ED">
      <w:pPr>
        <w:spacing w:line="360" w:lineRule="auto"/>
        <w:jc w:val="both"/>
        <w:rPr>
          <w:rFonts w:ascii="Times New Roman" w:hAnsi="Times New Roman" w:cs="Times New Roman"/>
          <w:b/>
          <w:bCs/>
          <w:sz w:val="24"/>
          <w:szCs w:val="24"/>
          <w:lang w:val="es-ES"/>
        </w:rPr>
      </w:pPr>
      <w:r w:rsidRPr="000C1688">
        <w:rPr>
          <w:rFonts w:ascii="Times New Roman" w:hAnsi="Times New Roman" w:cs="Times New Roman"/>
          <w:b/>
          <w:bCs/>
          <w:sz w:val="24"/>
          <w:szCs w:val="24"/>
          <w:lang w:val="es-ES"/>
        </w:rPr>
        <w:t>Conceptos claves de la planeación urbana en Bogotá</w:t>
      </w:r>
    </w:p>
    <w:p w14:paraId="53EAF661" w14:textId="449C7FEA" w:rsidR="008F73BC" w:rsidRPr="000C1688" w:rsidRDefault="008F73BC" w:rsidP="00A024ED">
      <w:pPr>
        <w:spacing w:line="360" w:lineRule="auto"/>
        <w:jc w:val="both"/>
        <w:rPr>
          <w:rFonts w:ascii="Times New Roman" w:hAnsi="Times New Roman" w:cs="Times New Roman"/>
          <w:b/>
          <w:bCs/>
          <w:sz w:val="24"/>
          <w:szCs w:val="24"/>
          <w:lang w:val="es-ES"/>
        </w:rPr>
      </w:pPr>
      <w:r w:rsidRPr="000C1688">
        <w:rPr>
          <w:rFonts w:ascii="Times New Roman" w:hAnsi="Times New Roman" w:cs="Times New Roman"/>
          <w:b/>
          <w:bCs/>
          <w:sz w:val="24"/>
          <w:szCs w:val="24"/>
          <w:lang w:val="es-ES"/>
        </w:rPr>
        <w:t xml:space="preserve">El </w:t>
      </w:r>
      <w:r w:rsidR="005228B4" w:rsidRPr="000C1688">
        <w:rPr>
          <w:rFonts w:ascii="Times New Roman" w:hAnsi="Times New Roman" w:cs="Times New Roman"/>
          <w:b/>
          <w:bCs/>
          <w:sz w:val="24"/>
          <w:szCs w:val="24"/>
          <w:lang w:val="es-ES"/>
        </w:rPr>
        <w:t>proceso y trámite de la legalización</w:t>
      </w:r>
      <w:r w:rsidR="00D7676E" w:rsidRPr="000C1688">
        <w:rPr>
          <w:rFonts w:ascii="Times New Roman" w:hAnsi="Times New Roman" w:cs="Times New Roman"/>
          <w:b/>
          <w:bCs/>
          <w:sz w:val="24"/>
          <w:szCs w:val="24"/>
          <w:lang w:val="es-ES"/>
        </w:rPr>
        <w:t xml:space="preserve"> </w:t>
      </w:r>
    </w:p>
    <w:p w14:paraId="2225A3E3" w14:textId="245DC81C" w:rsidR="00D7676E" w:rsidRPr="000C1688" w:rsidRDefault="009D3032" w:rsidP="00A024ED">
      <w:pPr>
        <w:pStyle w:val="ListParagraph"/>
        <w:numPr>
          <w:ilvl w:val="0"/>
          <w:numId w:val="3"/>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Legalizaciones en zonas rurales o suelo de expansión. (cómo de desarrollo el suelo en Colombia)</w:t>
      </w:r>
    </w:p>
    <w:p w14:paraId="2E6EE0E0" w14:textId="4AE7905A" w:rsidR="00D7676E" w:rsidRPr="000C1688" w:rsidRDefault="00D7676E" w:rsidP="00A024ED">
      <w:pPr>
        <w:pStyle w:val="ListParagraph"/>
        <w:numPr>
          <w:ilvl w:val="0"/>
          <w:numId w:val="3"/>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Expresiones protección ambiental, reserva vial o sistemas primarios, y suelos de riesgo (hay zonas más </w:t>
      </w:r>
      <w:proofErr w:type="spellStart"/>
      <w:r w:rsidRPr="000C1688">
        <w:rPr>
          <w:rFonts w:ascii="Times New Roman" w:hAnsi="Times New Roman" w:cs="Times New Roman"/>
          <w:sz w:val="24"/>
          <w:szCs w:val="24"/>
          <w:lang w:val="es-ES"/>
        </w:rPr>
        <w:t>iportantes</w:t>
      </w:r>
      <w:proofErr w:type="spellEnd"/>
      <w:r w:rsidRPr="000C1688">
        <w:rPr>
          <w:rFonts w:ascii="Times New Roman" w:hAnsi="Times New Roman" w:cs="Times New Roman"/>
          <w:sz w:val="24"/>
          <w:szCs w:val="24"/>
          <w:lang w:val="es-ES"/>
        </w:rPr>
        <w:t xml:space="preserve"> que otras)</w:t>
      </w:r>
    </w:p>
    <w:p w14:paraId="4AC090E4" w14:textId="49B6DC19" w:rsidR="00ED7844" w:rsidRPr="000C1688" w:rsidRDefault="00ED7844" w:rsidP="00A024ED">
      <w:pPr>
        <w:pStyle w:val="ListParagraph"/>
        <w:numPr>
          <w:ilvl w:val="0"/>
          <w:numId w:val="3"/>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El proceso de legalización (anticipación y “origen del asentamiento”)</w:t>
      </w:r>
    </w:p>
    <w:p w14:paraId="109713E3" w14:textId="328832A1" w:rsidR="00ED7844" w:rsidRPr="000C1688" w:rsidRDefault="00ED7844" w:rsidP="00A024ED">
      <w:pPr>
        <w:spacing w:line="360" w:lineRule="auto"/>
        <w:jc w:val="both"/>
        <w:rPr>
          <w:rFonts w:ascii="Times New Roman" w:hAnsi="Times New Roman" w:cs="Times New Roman"/>
          <w:b/>
          <w:bCs/>
          <w:sz w:val="24"/>
          <w:szCs w:val="24"/>
          <w:lang w:val="es-ES"/>
        </w:rPr>
      </w:pPr>
      <w:r w:rsidRPr="000C1688">
        <w:rPr>
          <w:rFonts w:ascii="Times New Roman" w:hAnsi="Times New Roman" w:cs="Times New Roman"/>
          <w:b/>
          <w:bCs/>
          <w:sz w:val="24"/>
          <w:szCs w:val="24"/>
          <w:lang w:val="es-ES"/>
        </w:rPr>
        <w:t>Conexión con otras políticas</w:t>
      </w:r>
    </w:p>
    <w:p w14:paraId="42825924" w14:textId="77777777" w:rsidR="005228B4" w:rsidRPr="000C1688" w:rsidRDefault="005228B4" w:rsidP="00A024ED">
      <w:pPr>
        <w:spacing w:line="360" w:lineRule="auto"/>
        <w:jc w:val="both"/>
        <w:rPr>
          <w:rFonts w:ascii="Times New Roman" w:hAnsi="Times New Roman" w:cs="Times New Roman"/>
          <w:sz w:val="24"/>
          <w:szCs w:val="24"/>
          <w:lang w:val="es-ES"/>
        </w:rPr>
      </w:pPr>
    </w:p>
    <w:p w14:paraId="7FB2BFD1" w14:textId="1C4DFC5C" w:rsidR="005228B4" w:rsidRPr="000C1688" w:rsidRDefault="005228B4"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El choque </w:t>
      </w:r>
    </w:p>
    <w:p w14:paraId="4529D3BB" w14:textId="1DA28AC7" w:rsidR="005228B4" w:rsidRPr="000C1688" w:rsidRDefault="008F73BC" w:rsidP="00A024ED">
      <w:pPr>
        <w:spacing w:line="360" w:lineRule="auto"/>
        <w:jc w:val="both"/>
        <w:rPr>
          <w:rFonts w:ascii="Times New Roman" w:hAnsi="Times New Roman" w:cs="Times New Roman"/>
        </w:rPr>
      </w:pPr>
      <w:r w:rsidRPr="000C1688">
        <w:rPr>
          <w:rFonts w:ascii="Times New Roman" w:hAnsi="Times New Roman" w:cs="Times New Roman"/>
          <w:sz w:val="24"/>
          <w:szCs w:val="24"/>
          <w:lang w:val="es-ES"/>
        </w:rPr>
        <w:t xml:space="preserve">Plan de desarrollo contra la </w:t>
      </w:r>
      <w:proofErr w:type="spellStart"/>
      <w:r w:rsidRPr="000C1688">
        <w:rPr>
          <w:rFonts w:ascii="Times New Roman" w:hAnsi="Times New Roman" w:cs="Times New Roman"/>
          <w:sz w:val="24"/>
          <w:szCs w:val="24"/>
          <w:lang w:val="es-ES"/>
        </w:rPr>
        <w:t>cort</w:t>
      </w:r>
      <w:proofErr w:type="spellEnd"/>
      <w:r w:rsidR="005228B4" w:rsidRPr="000C1688">
        <w:rPr>
          <w:rFonts w:ascii="Times New Roman" w:hAnsi="Times New Roman" w:cs="Times New Roman"/>
        </w:rPr>
        <w:t xml:space="preserve"> </w:t>
      </w:r>
    </w:p>
    <w:p w14:paraId="3C344A30" w14:textId="01F0A01D" w:rsidR="00E956F6" w:rsidRPr="000C1688" w:rsidRDefault="005228B4"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Decreto 476 de 2015 Alcaldía Mayor de Bogotá, D.C</w:t>
      </w:r>
    </w:p>
    <w:p w14:paraId="1A6A7585" w14:textId="77777777" w:rsidR="005228B4" w:rsidRPr="000C1688" w:rsidRDefault="005228B4" w:rsidP="00A024ED">
      <w:pPr>
        <w:spacing w:line="360" w:lineRule="auto"/>
        <w:jc w:val="both"/>
        <w:rPr>
          <w:rFonts w:ascii="Times New Roman" w:hAnsi="Times New Roman" w:cs="Times New Roman"/>
          <w:sz w:val="24"/>
          <w:szCs w:val="24"/>
          <w:lang w:val="es-ES"/>
        </w:rPr>
      </w:pPr>
    </w:p>
    <w:p w14:paraId="26DE7663" w14:textId="64BA6745" w:rsidR="00ED7844" w:rsidRPr="000C1688" w:rsidRDefault="00ED7844" w:rsidP="00A024ED">
      <w:pPr>
        <w:pStyle w:val="Heading1"/>
        <w:rPr>
          <w:rFonts w:cs="Times New Roman"/>
          <w:lang w:val="es-ES"/>
        </w:rPr>
      </w:pPr>
      <w:r w:rsidRPr="000C1688">
        <w:rPr>
          <w:rFonts w:cs="Times New Roman"/>
          <w:lang w:val="es-ES"/>
        </w:rPr>
        <w:t>Datos</w:t>
      </w:r>
    </w:p>
    <w:p w14:paraId="7BF1F2C7" w14:textId="77777777" w:rsidR="00A024ED" w:rsidRPr="000C1688" w:rsidRDefault="00A024ED" w:rsidP="00A024ED">
      <w:pPr>
        <w:spacing w:line="360" w:lineRule="auto"/>
        <w:jc w:val="both"/>
        <w:rPr>
          <w:rFonts w:ascii="Times New Roman" w:hAnsi="Times New Roman" w:cs="Times New Roman"/>
          <w:b/>
          <w:bCs/>
          <w:sz w:val="24"/>
          <w:szCs w:val="24"/>
          <w:lang w:val="es-ES"/>
        </w:rPr>
      </w:pPr>
    </w:p>
    <w:p w14:paraId="14FDB7D6" w14:textId="1D70657B" w:rsidR="00254B55" w:rsidRPr="000C1688" w:rsidRDefault="00254B5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Ocupaciones</w:t>
      </w:r>
      <w:r w:rsidRPr="000C1688">
        <w:rPr>
          <w:rFonts w:ascii="Times New Roman" w:hAnsi="Times New Roman" w:cs="Times New Roman"/>
          <w:b/>
          <w:bCs/>
          <w:sz w:val="24"/>
          <w:szCs w:val="24"/>
          <w:lang w:val="es-ES"/>
        </w:rPr>
        <w:t xml:space="preserve"> informales</w:t>
      </w:r>
      <w:r w:rsidRPr="000C1688">
        <w:rPr>
          <w:rFonts w:ascii="Times New Roman" w:hAnsi="Times New Roman" w:cs="Times New Roman"/>
          <w:sz w:val="24"/>
          <w:szCs w:val="24"/>
          <w:lang w:val="es-ES"/>
        </w:rPr>
        <w:t>:</w:t>
      </w:r>
      <w:r w:rsidRPr="000C1688">
        <w:rPr>
          <w:rFonts w:ascii="Times New Roman" w:hAnsi="Times New Roman" w:cs="Times New Roman"/>
          <w:sz w:val="24"/>
          <w:szCs w:val="24"/>
          <w:lang w:val="es-ES"/>
        </w:rPr>
        <w:t xml:space="preserve"> </w:t>
      </w:r>
      <w:r w:rsidR="00B238BB" w:rsidRPr="000C1688">
        <w:rPr>
          <w:rFonts w:ascii="Times New Roman" w:hAnsi="Times New Roman" w:cs="Times New Roman"/>
          <w:sz w:val="24"/>
          <w:szCs w:val="24"/>
          <w:lang w:val="es-ES"/>
        </w:rPr>
        <w:t>Para la identificación de</w:t>
      </w:r>
      <w:r w:rsidR="006B4601" w:rsidRPr="000C1688">
        <w:rPr>
          <w:rFonts w:ascii="Times New Roman" w:hAnsi="Times New Roman" w:cs="Times New Roman"/>
          <w:sz w:val="24"/>
          <w:szCs w:val="24"/>
          <w:lang w:val="es-ES"/>
        </w:rPr>
        <w:t xml:space="preserve">l crecimiento de la ciudad ilegal </w:t>
      </w:r>
      <w:r w:rsidR="00B238BB" w:rsidRPr="000C1688">
        <w:rPr>
          <w:rFonts w:ascii="Times New Roman" w:hAnsi="Times New Roman" w:cs="Times New Roman"/>
          <w:sz w:val="24"/>
          <w:szCs w:val="24"/>
          <w:lang w:val="es-ES"/>
        </w:rPr>
        <w:t xml:space="preserve">se tomó el registro </w:t>
      </w:r>
      <w:r w:rsidR="00577D7D" w:rsidRPr="000C1688">
        <w:rPr>
          <w:rFonts w:ascii="Times New Roman" w:hAnsi="Times New Roman" w:cs="Times New Roman"/>
          <w:sz w:val="24"/>
          <w:szCs w:val="24"/>
          <w:lang w:val="es-ES"/>
        </w:rPr>
        <w:t xml:space="preserve">oficial </w:t>
      </w:r>
      <w:r w:rsidR="00B238BB" w:rsidRPr="000C1688">
        <w:rPr>
          <w:rFonts w:ascii="Times New Roman" w:hAnsi="Times New Roman" w:cs="Times New Roman"/>
          <w:sz w:val="24"/>
          <w:szCs w:val="24"/>
          <w:lang w:val="es-ES"/>
        </w:rPr>
        <w:t xml:space="preserve">realizado por la </w:t>
      </w:r>
      <w:r w:rsidR="00B2295C" w:rsidRPr="000C1688">
        <w:rPr>
          <w:rFonts w:ascii="Times New Roman" w:hAnsi="Times New Roman" w:cs="Times New Roman"/>
          <w:sz w:val="24"/>
          <w:szCs w:val="24"/>
          <w:lang w:val="es-ES"/>
        </w:rPr>
        <w:t>secretaria</w:t>
      </w:r>
      <w:r w:rsidR="00B238BB" w:rsidRPr="000C1688">
        <w:rPr>
          <w:rFonts w:ascii="Times New Roman" w:hAnsi="Times New Roman" w:cs="Times New Roman"/>
          <w:sz w:val="24"/>
          <w:szCs w:val="24"/>
          <w:lang w:val="es-ES"/>
        </w:rPr>
        <w:t xml:space="preserve"> Distrital de Hábitat (SDH)</w:t>
      </w:r>
      <w:r w:rsidR="00577D7D" w:rsidRPr="000C1688">
        <w:rPr>
          <w:rFonts w:ascii="Times New Roman" w:hAnsi="Times New Roman" w:cs="Times New Roman"/>
          <w:sz w:val="24"/>
          <w:szCs w:val="24"/>
          <w:lang w:val="es-ES"/>
        </w:rPr>
        <w:t xml:space="preserve"> sobre ocupaciones informales</w:t>
      </w:r>
      <w:r w:rsidR="004016B8" w:rsidRPr="000C1688">
        <w:rPr>
          <w:rFonts w:ascii="Times New Roman" w:hAnsi="Times New Roman" w:cs="Times New Roman"/>
          <w:sz w:val="24"/>
          <w:szCs w:val="24"/>
          <w:lang w:val="es-ES"/>
        </w:rPr>
        <w:t xml:space="preserve"> que solo existe desde el 2005</w:t>
      </w:r>
      <w:r w:rsidR="00577D7D" w:rsidRPr="000C1688">
        <w:rPr>
          <w:rFonts w:ascii="Times New Roman" w:hAnsi="Times New Roman" w:cs="Times New Roman"/>
          <w:sz w:val="24"/>
          <w:szCs w:val="24"/>
          <w:lang w:val="es-ES"/>
        </w:rPr>
        <w:t>. Estas ocupaciones son el registro más cercano a los procesos de expansión informal</w:t>
      </w:r>
      <w:r w:rsidR="008B7D95" w:rsidRPr="000C1688">
        <w:rPr>
          <w:rFonts w:ascii="Times New Roman" w:hAnsi="Times New Roman" w:cs="Times New Roman"/>
          <w:sz w:val="24"/>
          <w:szCs w:val="24"/>
          <w:lang w:val="es-ES"/>
        </w:rPr>
        <w:t>-</w:t>
      </w:r>
      <w:r w:rsidR="00577D7D" w:rsidRPr="000C1688">
        <w:rPr>
          <w:rFonts w:ascii="Times New Roman" w:hAnsi="Times New Roman" w:cs="Times New Roman"/>
          <w:sz w:val="24"/>
          <w:szCs w:val="24"/>
          <w:lang w:val="es-ES"/>
        </w:rPr>
        <w:t xml:space="preserve">ilegal (sin licencia urbanística). Esto, pues </w:t>
      </w:r>
      <w:r w:rsidR="006B4601" w:rsidRPr="000C1688">
        <w:rPr>
          <w:rFonts w:ascii="Times New Roman" w:hAnsi="Times New Roman" w:cs="Times New Roman"/>
          <w:sz w:val="24"/>
          <w:szCs w:val="24"/>
          <w:lang w:val="es-ES"/>
        </w:rPr>
        <w:t xml:space="preserve">es difícil </w:t>
      </w:r>
      <w:r w:rsidR="00762E2C" w:rsidRPr="000C1688">
        <w:rPr>
          <w:rFonts w:ascii="Times New Roman" w:hAnsi="Times New Roman" w:cs="Times New Roman"/>
          <w:sz w:val="24"/>
          <w:szCs w:val="24"/>
          <w:lang w:val="es-ES"/>
        </w:rPr>
        <w:t xml:space="preserve">de diferenciar </w:t>
      </w:r>
      <w:r w:rsidR="00F8017D" w:rsidRPr="000C1688">
        <w:rPr>
          <w:rFonts w:ascii="Times New Roman" w:hAnsi="Times New Roman" w:cs="Times New Roman"/>
          <w:sz w:val="24"/>
          <w:szCs w:val="24"/>
          <w:lang w:val="es-ES"/>
        </w:rPr>
        <w:t>satelitalmente</w:t>
      </w:r>
      <w:r w:rsidR="00762E2C" w:rsidRPr="000C1688">
        <w:rPr>
          <w:rFonts w:ascii="Times New Roman" w:hAnsi="Times New Roman" w:cs="Times New Roman"/>
          <w:sz w:val="24"/>
          <w:szCs w:val="24"/>
          <w:lang w:val="es-ES"/>
        </w:rPr>
        <w:t xml:space="preserve"> los</w:t>
      </w:r>
      <w:r w:rsidR="00F8017D" w:rsidRPr="000C1688">
        <w:rPr>
          <w:rFonts w:ascii="Times New Roman" w:hAnsi="Times New Roman" w:cs="Times New Roman"/>
          <w:sz w:val="24"/>
          <w:szCs w:val="24"/>
          <w:lang w:val="es-ES"/>
        </w:rPr>
        <w:t xml:space="preserve"> asentamientos ilegales-informales de los asentamientos legales - informales,</w:t>
      </w:r>
      <w:r w:rsidR="006B4601" w:rsidRPr="000C1688">
        <w:rPr>
          <w:rFonts w:ascii="Times New Roman" w:hAnsi="Times New Roman" w:cs="Times New Roman"/>
          <w:sz w:val="24"/>
          <w:szCs w:val="24"/>
          <w:lang w:val="es-ES"/>
        </w:rPr>
        <w:t xml:space="preserve"> dado que tipológica y morfológicamente son indistinguibles en muchos casos. Es</w:t>
      </w:r>
      <w:r w:rsidR="008B7D95" w:rsidRPr="000C1688">
        <w:rPr>
          <w:rFonts w:ascii="Times New Roman" w:hAnsi="Times New Roman" w:cs="Times New Roman"/>
          <w:sz w:val="24"/>
          <w:szCs w:val="24"/>
          <w:lang w:val="es-ES"/>
        </w:rPr>
        <w:t>ta base no existe como un compendio único de todos los años del estudio, sino que es una reconstrucción de las bases que año a año se crean en el marco de la estrategia de monitoreo a asentamientos informales de la SDH</w:t>
      </w:r>
      <w:r w:rsidR="00E45706" w:rsidRPr="000C1688">
        <w:rPr>
          <w:rFonts w:ascii="Times New Roman" w:hAnsi="Times New Roman" w:cs="Times New Roman"/>
          <w:sz w:val="24"/>
          <w:szCs w:val="24"/>
          <w:lang w:val="es-ES"/>
        </w:rPr>
        <w:t>.</w:t>
      </w:r>
      <w:r w:rsidR="008B7D95" w:rsidRPr="000C1688">
        <w:rPr>
          <w:rFonts w:ascii="Times New Roman" w:hAnsi="Times New Roman" w:cs="Times New Roman"/>
          <w:sz w:val="24"/>
          <w:szCs w:val="24"/>
          <w:lang w:val="es-ES"/>
        </w:rPr>
        <w:t xml:space="preserve"> </w:t>
      </w:r>
      <w:r w:rsidR="00E45706" w:rsidRPr="000C1688">
        <w:rPr>
          <w:rFonts w:ascii="Times New Roman" w:hAnsi="Times New Roman" w:cs="Times New Roman"/>
          <w:sz w:val="24"/>
          <w:szCs w:val="24"/>
          <w:lang w:val="es-ES"/>
        </w:rPr>
        <w:t>E</w:t>
      </w:r>
      <w:r w:rsidR="008B7D95" w:rsidRPr="000C1688">
        <w:rPr>
          <w:rFonts w:ascii="Times New Roman" w:hAnsi="Times New Roman" w:cs="Times New Roman"/>
          <w:sz w:val="24"/>
          <w:szCs w:val="24"/>
          <w:lang w:val="es-ES"/>
        </w:rPr>
        <w:t xml:space="preserve">sto implica que el contenido de la base varia año a año y lo único estable en el tiempo es la coordenada de cada ocupación, por lo cuál es lo único que se consideró para el análisis. </w:t>
      </w:r>
      <w:r w:rsidR="00E45706" w:rsidRPr="000C1688">
        <w:rPr>
          <w:rFonts w:ascii="Times New Roman" w:hAnsi="Times New Roman" w:cs="Times New Roman"/>
          <w:sz w:val="24"/>
          <w:szCs w:val="24"/>
          <w:lang w:val="es-ES"/>
        </w:rPr>
        <w:t>Así,</w:t>
      </w:r>
      <w:r w:rsidR="008B7D95" w:rsidRPr="000C1688">
        <w:rPr>
          <w:rFonts w:ascii="Times New Roman" w:hAnsi="Times New Roman" w:cs="Times New Roman"/>
          <w:sz w:val="24"/>
          <w:szCs w:val="24"/>
          <w:lang w:val="es-ES"/>
        </w:rPr>
        <w:t xml:space="preserve"> las ocupaciones informales, a diferencia de </w:t>
      </w:r>
      <w:r w:rsidR="00D369DA" w:rsidRPr="000C1688">
        <w:rPr>
          <w:rFonts w:ascii="Times New Roman" w:hAnsi="Times New Roman" w:cs="Times New Roman"/>
          <w:sz w:val="24"/>
          <w:szCs w:val="24"/>
          <w:lang w:val="es-ES"/>
        </w:rPr>
        <w:t>las legalizaciones, no tiene un identificador único ni una fecha de origen cierta, por lo que asumimos que el origen es la primera vez que el punto (coordenada</w:t>
      </w:r>
      <w:r w:rsidR="00C907C3" w:rsidRPr="000C1688">
        <w:rPr>
          <w:rFonts w:ascii="Times New Roman" w:hAnsi="Times New Roman" w:cs="Times New Roman"/>
          <w:sz w:val="24"/>
          <w:szCs w:val="24"/>
          <w:lang w:val="es-ES"/>
        </w:rPr>
        <w:t>s</w:t>
      </w:r>
      <w:r w:rsidR="00D369DA" w:rsidRPr="000C1688">
        <w:rPr>
          <w:rFonts w:ascii="Times New Roman" w:hAnsi="Times New Roman" w:cs="Times New Roman"/>
          <w:sz w:val="24"/>
          <w:szCs w:val="24"/>
          <w:lang w:val="es-ES"/>
        </w:rPr>
        <w:t>) se observa.</w:t>
      </w:r>
    </w:p>
    <w:p w14:paraId="668BC9D3" w14:textId="4192265B" w:rsidR="00D369DA" w:rsidRPr="000C1688" w:rsidRDefault="00D369DA"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lastRenderedPageBreak/>
        <w:t xml:space="preserve">La SDH también adelanta procesos de monitoreo para la prevención y el control de los asentamientos informales en unos polígonos determinados por la misma entidad. </w:t>
      </w:r>
      <w:r w:rsidR="00E45706" w:rsidRPr="000C1688">
        <w:rPr>
          <w:rFonts w:ascii="Times New Roman" w:hAnsi="Times New Roman" w:cs="Times New Roman"/>
          <w:sz w:val="24"/>
          <w:szCs w:val="24"/>
          <w:lang w:val="es-ES"/>
        </w:rPr>
        <w:t>La extensión geográfica de estos polígonos varía</w:t>
      </w:r>
      <w:r w:rsidRPr="000C1688">
        <w:rPr>
          <w:rFonts w:ascii="Times New Roman" w:hAnsi="Times New Roman" w:cs="Times New Roman"/>
          <w:sz w:val="24"/>
          <w:szCs w:val="24"/>
          <w:lang w:val="es-ES"/>
        </w:rPr>
        <w:t xml:space="preserve"> en el tiempo a lo largo del periodo </w:t>
      </w:r>
      <w:r w:rsidR="00E45706" w:rsidRPr="000C1688">
        <w:rPr>
          <w:rFonts w:ascii="Times New Roman" w:hAnsi="Times New Roman" w:cs="Times New Roman"/>
          <w:sz w:val="24"/>
          <w:szCs w:val="24"/>
          <w:lang w:val="es-ES"/>
        </w:rPr>
        <w:t>de análisis, por lo cual también se tuvo en cuenta esta información.</w:t>
      </w:r>
    </w:p>
    <w:p w14:paraId="6472B347" w14:textId="675737AA" w:rsidR="00254B55" w:rsidRPr="000C1688" w:rsidRDefault="00254B5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Legalizaciones</w:t>
      </w:r>
      <w:r w:rsidR="00E956F6" w:rsidRPr="000C1688">
        <w:rPr>
          <w:rFonts w:ascii="Times New Roman" w:hAnsi="Times New Roman" w:cs="Times New Roman"/>
          <w:b/>
          <w:bCs/>
          <w:sz w:val="24"/>
          <w:szCs w:val="24"/>
          <w:lang w:val="es-ES"/>
        </w:rPr>
        <w:t xml:space="preserve"> de barrios</w:t>
      </w:r>
      <w:r w:rsidRPr="000C1688">
        <w:rPr>
          <w:rFonts w:ascii="Times New Roman" w:hAnsi="Times New Roman" w:cs="Times New Roman"/>
          <w:b/>
          <w:bCs/>
          <w:sz w:val="24"/>
          <w:szCs w:val="24"/>
          <w:lang w:val="es-ES"/>
        </w:rPr>
        <w:t>:</w:t>
      </w:r>
      <w:r w:rsidRPr="000C1688">
        <w:rPr>
          <w:rFonts w:ascii="Times New Roman" w:hAnsi="Times New Roman" w:cs="Times New Roman"/>
          <w:sz w:val="24"/>
          <w:szCs w:val="24"/>
          <w:lang w:val="es-ES"/>
        </w:rPr>
        <w:t xml:space="preserve"> </w:t>
      </w:r>
      <w:r w:rsidR="004016B8" w:rsidRPr="000C1688">
        <w:rPr>
          <w:rFonts w:ascii="Times New Roman" w:hAnsi="Times New Roman" w:cs="Times New Roman"/>
          <w:sz w:val="24"/>
          <w:szCs w:val="24"/>
          <w:lang w:val="es-ES"/>
        </w:rPr>
        <w:t xml:space="preserve">la </w:t>
      </w:r>
      <w:r w:rsidR="00E956F6" w:rsidRPr="000C1688">
        <w:rPr>
          <w:rFonts w:ascii="Times New Roman" w:hAnsi="Times New Roman" w:cs="Times New Roman"/>
          <w:sz w:val="24"/>
          <w:szCs w:val="24"/>
          <w:lang w:val="es-ES"/>
        </w:rPr>
        <w:t>secretaria</w:t>
      </w:r>
      <w:r w:rsidR="004016B8" w:rsidRPr="000C1688">
        <w:rPr>
          <w:rFonts w:ascii="Times New Roman" w:hAnsi="Times New Roman" w:cs="Times New Roman"/>
          <w:sz w:val="24"/>
          <w:szCs w:val="24"/>
          <w:lang w:val="es-ES"/>
        </w:rPr>
        <w:t xml:space="preserve"> Distrital de Planeación (SDP) cuenta con una base geográfica de todas las áreas que han sido legalizadas en la ciudad los 1970’s, en donde se estipulo el año de cada legalización y el acto administrativo por el cual se ejecuto cada una. A partir de esta base, tomamos </w:t>
      </w:r>
      <w:r w:rsidR="000B0206" w:rsidRPr="000C1688">
        <w:rPr>
          <w:rFonts w:ascii="Times New Roman" w:hAnsi="Times New Roman" w:cs="Times New Roman"/>
          <w:sz w:val="24"/>
          <w:szCs w:val="24"/>
          <w:lang w:val="es-ES"/>
        </w:rPr>
        <w:t xml:space="preserve">la información sobre el programa de legalización. Para aquellas </w:t>
      </w:r>
      <w:r w:rsidR="00E956F6" w:rsidRPr="000C1688">
        <w:rPr>
          <w:rFonts w:ascii="Times New Roman" w:hAnsi="Times New Roman" w:cs="Times New Roman"/>
          <w:sz w:val="24"/>
          <w:szCs w:val="24"/>
          <w:lang w:val="es-ES"/>
        </w:rPr>
        <w:t>legalizaciones</w:t>
      </w:r>
      <w:r w:rsidR="000B0206" w:rsidRPr="000C1688">
        <w:rPr>
          <w:rFonts w:ascii="Times New Roman" w:hAnsi="Times New Roman" w:cs="Times New Roman"/>
          <w:sz w:val="24"/>
          <w:szCs w:val="24"/>
          <w:lang w:val="es-ES"/>
        </w:rPr>
        <w:t xml:space="preserve"> posteriores al 2005 (año desde el cuál se cuenta con información de ocupaciones informales), revisamos </w:t>
      </w:r>
      <w:r w:rsidR="00E956F6" w:rsidRPr="000C1688">
        <w:rPr>
          <w:rFonts w:ascii="Times New Roman" w:hAnsi="Times New Roman" w:cs="Times New Roman"/>
          <w:sz w:val="24"/>
          <w:szCs w:val="24"/>
          <w:lang w:val="es-ES"/>
        </w:rPr>
        <w:t>los actos administrativos para identificar el año en que inicio cada proceso: para posteriormente poder tener en cuenta dinámicas de anticipación del tratamiento según CITAS); y el año de origen detectado para cada asentamiento.</w:t>
      </w:r>
      <w:r w:rsidR="006B4601" w:rsidRPr="000C1688">
        <w:rPr>
          <w:rFonts w:ascii="Times New Roman" w:hAnsi="Times New Roman" w:cs="Times New Roman"/>
          <w:sz w:val="24"/>
          <w:szCs w:val="24"/>
          <w:lang w:val="es-ES"/>
        </w:rPr>
        <w:t xml:space="preserve"> </w:t>
      </w:r>
    </w:p>
    <w:p w14:paraId="3CD79D8B" w14:textId="647688A5" w:rsidR="00142E9F" w:rsidRPr="000C1688" w:rsidRDefault="0014416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Planeación urbana</w:t>
      </w:r>
      <w:r w:rsidR="003D586E" w:rsidRPr="000C1688">
        <w:rPr>
          <w:rFonts w:ascii="Times New Roman" w:hAnsi="Times New Roman" w:cs="Times New Roman"/>
          <w:b/>
          <w:bCs/>
          <w:sz w:val="24"/>
          <w:szCs w:val="24"/>
          <w:lang w:val="es-ES"/>
        </w:rPr>
        <w:t xml:space="preserve"> previa</w:t>
      </w:r>
      <w:r w:rsidRPr="000C1688">
        <w:rPr>
          <w:rFonts w:ascii="Times New Roman" w:hAnsi="Times New Roman" w:cs="Times New Roman"/>
          <w:b/>
          <w:bCs/>
          <w:sz w:val="24"/>
          <w:szCs w:val="24"/>
          <w:lang w:val="es-ES"/>
        </w:rPr>
        <w:t xml:space="preserve"> (Pre-POT)</w:t>
      </w:r>
      <w:r w:rsidR="00565BC1" w:rsidRPr="000C1688">
        <w:rPr>
          <w:rFonts w:ascii="Times New Roman" w:hAnsi="Times New Roman" w:cs="Times New Roman"/>
          <w:sz w:val="24"/>
          <w:szCs w:val="24"/>
          <w:lang w:val="es-ES"/>
        </w:rPr>
        <w:t xml:space="preserve">: Tal como se </w:t>
      </w:r>
      <w:r w:rsidRPr="000C1688">
        <w:rPr>
          <w:rFonts w:ascii="Times New Roman" w:hAnsi="Times New Roman" w:cs="Times New Roman"/>
          <w:sz w:val="24"/>
          <w:szCs w:val="24"/>
          <w:lang w:val="es-ES"/>
        </w:rPr>
        <w:t>mencionó</w:t>
      </w:r>
      <w:r w:rsidR="00565BC1" w:rsidRPr="000C1688">
        <w:rPr>
          <w:rFonts w:ascii="Times New Roman" w:hAnsi="Times New Roman" w:cs="Times New Roman"/>
          <w:sz w:val="24"/>
          <w:szCs w:val="24"/>
          <w:lang w:val="es-ES"/>
        </w:rPr>
        <w:t xml:space="preserve"> anteriormente, los programas y políticas orientados al manejo de los asentamientos informales tiene sus orígenes desde los 50’s</w:t>
      </w:r>
      <w:r w:rsidRPr="000C1688">
        <w:rPr>
          <w:rFonts w:ascii="Times New Roman" w:hAnsi="Times New Roman" w:cs="Times New Roman"/>
          <w:sz w:val="24"/>
          <w:szCs w:val="24"/>
          <w:lang w:val="es-ES"/>
        </w:rPr>
        <w:t xml:space="preserve"> (CITAS)</w:t>
      </w:r>
      <w:r w:rsidR="00565BC1" w:rsidRPr="000C1688">
        <w:rPr>
          <w:rFonts w:ascii="Times New Roman" w:hAnsi="Times New Roman" w:cs="Times New Roman"/>
          <w:sz w:val="24"/>
          <w:szCs w:val="24"/>
          <w:lang w:val="es-ES"/>
        </w:rPr>
        <w:t xml:space="preserve">. </w:t>
      </w:r>
      <w:r w:rsidR="0037301D" w:rsidRPr="000C1688">
        <w:rPr>
          <w:rFonts w:ascii="Times New Roman" w:hAnsi="Times New Roman" w:cs="Times New Roman"/>
          <w:sz w:val="24"/>
          <w:szCs w:val="24"/>
          <w:lang w:val="es-ES"/>
        </w:rPr>
        <w:t>M</w:t>
      </w:r>
      <w:r w:rsidR="00625756" w:rsidRPr="000C1688">
        <w:rPr>
          <w:rFonts w:ascii="Times New Roman" w:hAnsi="Times New Roman" w:cs="Times New Roman"/>
          <w:sz w:val="24"/>
          <w:szCs w:val="24"/>
          <w:lang w:val="es-ES"/>
        </w:rPr>
        <w:t xml:space="preserve">uchas de estas </w:t>
      </w:r>
      <w:r w:rsidR="0037301D" w:rsidRPr="000C1688">
        <w:rPr>
          <w:rFonts w:ascii="Times New Roman" w:hAnsi="Times New Roman" w:cs="Times New Roman"/>
          <w:sz w:val="24"/>
          <w:szCs w:val="24"/>
          <w:lang w:val="es-ES"/>
        </w:rPr>
        <w:t xml:space="preserve">intervenciones pasadas </w:t>
      </w:r>
      <w:r w:rsidR="00625756" w:rsidRPr="000C1688">
        <w:rPr>
          <w:rFonts w:ascii="Times New Roman" w:hAnsi="Times New Roman" w:cs="Times New Roman"/>
          <w:sz w:val="24"/>
          <w:szCs w:val="24"/>
          <w:lang w:val="es-ES"/>
        </w:rPr>
        <w:t xml:space="preserve">afectaron </w:t>
      </w:r>
      <w:r w:rsidR="0037301D" w:rsidRPr="000C1688">
        <w:rPr>
          <w:rFonts w:ascii="Times New Roman" w:hAnsi="Times New Roman" w:cs="Times New Roman"/>
          <w:sz w:val="24"/>
          <w:szCs w:val="24"/>
          <w:lang w:val="es-ES"/>
        </w:rPr>
        <w:t>significativamente</w:t>
      </w:r>
      <w:r w:rsidR="00625756" w:rsidRPr="000C1688">
        <w:rPr>
          <w:rFonts w:ascii="Times New Roman" w:hAnsi="Times New Roman" w:cs="Times New Roman"/>
          <w:sz w:val="24"/>
          <w:szCs w:val="24"/>
          <w:lang w:val="es-ES"/>
        </w:rPr>
        <w:t xml:space="preserve"> áreas que serían legalizadas posteriormente</w:t>
      </w:r>
      <w:r w:rsidR="00565BC1" w:rsidRPr="000C1688">
        <w:rPr>
          <w:rFonts w:ascii="Times New Roman" w:hAnsi="Times New Roman" w:cs="Times New Roman"/>
          <w:sz w:val="24"/>
          <w:szCs w:val="24"/>
          <w:lang w:val="es-ES"/>
        </w:rPr>
        <w:t xml:space="preserve">. Para </w:t>
      </w:r>
      <w:r w:rsidR="00625756" w:rsidRPr="000C1688">
        <w:rPr>
          <w:rFonts w:ascii="Times New Roman" w:hAnsi="Times New Roman" w:cs="Times New Roman"/>
          <w:sz w:val="24"/>
          <w:szCs w:val="24"/>
          <w:lang w:val="es-ES"/>
        </w:rPr>
        <w:t>integrar esta dimensión histórica</w:t>
      </w:r>
      <w:r w:rsidR="00565BC1" w:rsidRPr="000C1688">
        <w:rPr>
          <w:rFonts w:ascii="Times New Roman" w:hAnsi="Times New Roman" w:cs="Times New Roman"/>
          <w:sz w:val="24"/>
          <w:szCs w:val="24"/>
          <w:lang w:val="es-ES"/>
        </w:rPr>
        <w:t xml:space="preserve">, se georreferenciaron los planos de los principales cuatro programas anteriores </w:t>
      </w:r>
      <w:r w:rsidR="00625756" w:rsidRPr="000C1688">
        <w:rPr>
          <w:rFonts w:ascii="Times New Roman" w:hAnsi="Times New Roman" w:cs="Times New Roman"/>
          <w:sz w:val="24"/>
          <w:szCs w:val="24"/>
          <w:lang w:val="es-ES"/>
        </w:rPr>
        <w:t>al POT</w:t>
      </w:r>
      <w:r w:rsidR="00565BC1" w:rsidRPr="000C1688">
        <w:rPr>
          <w:rFonts w:ascii="Times New Roman" w:hAnsi="Times New Roman" w:cs="Times New Roman"/>
          <w:sz w:val="24"/>
          <w:szCs w:val="24"/>
          <w:lang w:val="es-ES"/>
        </w:rPr>
        <w:t xml:space="preserve">. Estos cuatro programas fueron </w:t>
      </w:r>
      <w:r w:rsidR="00565BC1" w:rsidRPr="000C1688">
        <w:rPr>
          <w:rFonts w:ascii="Times New Roman" w:hAnsi="Times New Roman" w:cs="Times New Roman"/>
          <w:sz w:val="24"/>
          <w:szCs w:val="24"/>
          <w:lang w:val="es-ES"/>
        </w:rPr>
        <w:t xml:space="preserve">PIDUZOB </w:t>
      </w:r>
      <w:r w:rsidR="0037301D" w:rsidRPr="000C1688">
        <w:rPr>
          <w:rFonts w:ascii="Times New Roman" w:hAnsi="Times New Roman" w:cs="Times New Roman"/>
          <w:sz w:val="24"/>
          <w:szCs w:val="24"/>
          <w:lang w:val="es-ES"/>
        </w:rPr>
        <w:t xml:space="preserve">I (1972) </w:t>
      </w:r>
      <w:r w:rsidR="00565BC1" w:rsidRPr="000C1688">
        <w:rPr>
          <w:rFonts w:ascii="Times New Roman" w:hAnsi="Times New Roman" w:cs="Times New Roman"/>
          <w:sz w:val="24"/>
          <w:szCs w:val="24"/>
          <w:lang w:val="es-ES"/>
        </w:rPr>
        <w:t xml:space="preserve">y </w:t>
      </w:r>
      <w:r w:rsidR="0037301D" w:rsidRPr="000C1688">
        <w:rPr>
          <w:rFonts w:ascii="Times New Roman" w:hAnsi="Times New Roman" w:cs="Times New Roman"/>
          <w:sz w:val="24"/>
          <w:szCs w:val="24"/>
          <w:lang w:val="es-ES"/>
        </w:rPr>
        <w:t xml:space="preserve">II (1983), </w:t>
      </w:r>
      <w:r w:rsidR="0037301D" w:rsidRPr="000C1688">
        <w:rPr>
          <w:rFonts w:ascii="Times New Roman" w:hAnsi="Times New Roman" w:cs="Times New Roman"/>
          <w:sz w:val="24"/>
          <w:szCs w:val="24"/>
          <w:lang w:val="es-ES"/>
        </w:rPr>
        <w:t xml:space="preserve">el Proyecto SUR Bogotá (1997) </w:t>
      </w:r>
      <w:r w:rsidR="0037301D" w:rsidRPr="000C1688">
        <w:rPr>
          <w:rFonts w:ascii="Times New Roman" w:hAnsi="Times New Roman" w:cs="Times New Roman"/>
          <w:sz w:val="24"/>
          <w:szCs w:val="24"/>
          <w:lang w:val="es-ES"/>
        </w:rPr>
        <w:t>y el</w:t>
      </w:r>
      <w:r w:rsidR="002A3134" w:rsidRPr="000C1688">
        <w:rPr>
          <w:rFonts w:ascii="Times New Roman" w:hAnsi="Times New Roman" w:cs="Times New Roman"/>
          <w:sz w:val="24"/>
          <w:szCs w:val="24"/>
          <w:lang w:val="es-ES"/>
        </w:rPr>
        <w:t xml:space="preserve"> Programa de Des marginalización</w:t>
      </w:r>
      <w:r w:rsidR="0037301D" w:rsidRPr="000C1688">
        <w:rPr>
          <w:rFonts w:ascii="Times New Roman" w:hAnsi="Times New Roman" w:cs="Times New Roman"/>
          <w:sz w:val="24"/>
          <w:szCs w:val="24"/>
          <w:lang w:val="es-ES"/>
        </w:rPr>
        <w:t xml:space="preserve"> (1998). </w:t>
      </w:r>
    </w:p>
    <w:p w14:paraId="4509B8A0" w14:textId="1C501FBD" w:rsidR="00254B55" w:rsidRPr="000C1688" w:rsidRDefault="0014416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 xml:space="preserve">Planeación urbana </w:t>
      </w:r>
      <w:r w:rsidR="003D586E" w:rsidRPr="000C1688">
        <w:rPr>
          <w:rFonts w:ascii="Times New Roman" w:hAnsi="Times New Roman" w:cs="Times New Roman"/>
          <w:b/>
          <w:bCs/>
          <w:sz w:val="24"/>
          <w:szCs w:val="24"/>
          <w:lang w:val="es-ES"/>
        </w:rPr>
        <w:t xml:space="preserve">vigente </w:t>
      </w:r>
      <w:r w:rsidRPr="000C1688">
        <w:rPr>
          <w:rFonts w:ascii="Times New Roman" w:hAnsi="Times New Roman" w:cs="Times New Roman"/>
          <w:b/>
          <w:bCs/>
          <w:sz w:val="24"/>
          <w:szCs w:val="24"/>
          <w:lang w:val="es-ES"/>
        </w:rPr>
        <w:t>(POT)</w:t>
      </w:r>
      <w:r w:rsidRPr="000C1688">
        <w:rPr>
          <w:rFonts w:ascii="Times New Roman" w:hAnsi="Times New Roman" w:cs="Times New Roman"/>
          <w:sz w:val="24"/>
          <w:szCs w:val="24"/>
          <w:lang w:val="es-ES"/>
        </w:rPr>
        <w:t xml:space="preserve">: </w:t>
      </w:r>
      <w:r w:rsidR="003D586E" w:rsidRPr="000C1688">
        <w:rPr>
          <w:rFonts w:ascii="Times New Roman" w:hAnsi="Times New Roman" w:cs="Times New Roman"/>
          <w:sz w:val="24"/>
          <w:szCs w:val="24"/>
          <w:lang w:val="es-ES"/>
        </w:rPr>
        <w:t>Dada</w:t>
      </w:r>
      <w:r w:rsidR="00F855B3" w:rsidRPr="000C1688">
        <w:rPr>
          <w:rFonts w:ascii="Times New Roman" w:hAnsi="Times New Roman" w:cs="Times New Roman"/>
          <w:sz w:val="24"/>
          <w:szCs w:val="24"/>
          <w:lang w:val="es-ES"/>
        </w:rPr>
        <w:t xml:space="preserve"> </w:t>
      </w:r>
      <w:r w:rsidR="003D586E" w:rsidRPr="000C1688">
        <w:rPr>
          <w:rFonts w:ascii="Times New Roman" w:hAnsi="Times New Roman" w:cs="Times New Roman"/>
          <w:sz w:val="24"/>
          <w:szCs w:val="24"/>
          <w:lang w:val="es-ES"/>
        </w:rPr>
        <w:t xml:space="preserve">la </w:t>
      </w:r>
      <w:r w:rsidR="00625756" w:rsidRPr="000C1688">
        <w:rPr>
          <w:rFonts w:ascii="Times New Roman" w:hAnsi="Times New Roman" w:cs="Times New Roman"/>
          <w:sz w:val="24"/>
          <w:szCs w:val="24"/>
          <w:lang w:val="es-ES"/>
        </w:rPr>
        <w:t xml:space="preserve">relación </w:t>
      </w:r>
      <w:r w:rsidR="00F855B3" w:rsidRPr="000C1688">
        <w:rPr>
          <w:rFonts w:ascii="Times New Roman" w:hAnsi="Times New Roman" w:cs="Times New Roman"/>
          <w:sz w:val="24"/>
          <w:szCs w:val="24"/>
          <w:lang w:val="es-ES"/>
        </w:rPr>
        <w:t xml:space="preserve">entre el programa de legalización, las ocupaciones informales, y la zonificación dada por el POT, integramos </w:t>
      </w:r>
      <w:r w:rsidR="00625756" w:rsidRPr="000C1688">
        <w:rPr>
          <w:rFonts w:ascii="Times New Roman" w:hAnsi="Times New Roman" w:cs="Times New Roman"/>
          <w:sz w:val="24"/>
          <w:szCs w:val="24"/>
          <w:lang w:val="es-ES"/>
        </w:rPr>
        <w:t>las</w:t>
      </w:r>
      <w:r w:rsidR="00F855B3" w:rsidRPr="000C1688">
        <w:rPr>
          <w:rFonts w:ascii="Times New Roman" w:hAnsi="Times New Roman" w:cs="Times New Roman"/>
          <w:sz w:val="24"/>
          <w:szCs w:val="24"/>
          <w:lang w:val="es-ES"/>
        </w:rPr>
        <w:t xml:space="preserve"> capas geográficas oficiales</w:t>
      </w:r>
      <w:r w:rsidR="00625756" w:rsidRPr="000C1688">
        <w:rPr>
          <w:rFonts w:ascii="Times New Roman" w:hAnsi="Times New Roman" w:cs="Times New Roman"/>
          <w:sz w:val="24"/>
          <w:szCs w:val="24"/>
          <w:lang w:val="es-ES"/>
        </w:rPr>
        <w:t xml:space="preserve"> del decreto 190 de 2004</w:t>
      </w:r>
      <w:r w:rsidR="00F855B3" w:rsidRPr="000C1688">
        <w:rPr>
          <w:rFonts w:ascii="Times New Roman" w:hAnsi="Times New Roman" w:cs="Times New Roman"/>
          <w:sz w:val="24"/>
          <w:szCs w:val="24"/>
          <w:lang w:val="es-ES"/>
        </w:rPr>
        <w:t xml:space="preserve"> </w:t>
      </w:r>
      <w:r w:rsidR="00625756" w:rsidRPr="000C1688">
        <w:rPr>
          <w:rFonts w:ascii="Times New Roman" w:hAnsi="Times New Roman" w:cs="Times New Roman"/>
          <w:sz w:val="24"/>
          <w:szCs w:val="24"/>
          <w:lang w:val="es-ES"/>
        </w:rPr>
        <w:t xml:space="preserve">sobre </w:t>
      </w:r>
      <w:r w:rsidR="00F855B3" w:rsidRPr="000C1688">
        <w:rPr>
          <w:rFonts w:ascii="Times New Roman" w:hAnsi="Times New Roman" w:cs="Times New Roman"/>
          <w:sz w:val="24"/>
          <w:szCs w:val="24"/>
          <w:lang w:val="es-ES"/>
        </w:rPr>
        <w:t>I) clasificación del suelo, y II) tratamientos urbanísticos</w:t>
      </w:r>
      <w:r w:rsidR="00625756" w:rsidRPr="000C1688">
        <w:rPr>
          <w:rFonts w:ascii="Times New Roman" w:hAnsi="Times New Roman" w:cs="Times New Roman"/>
          <w:sz w:val="24"/>
          <w:szCs w:val="24"/>
          <w:lang w:val="es-ES"/>
        </w:rPr>
        <w:t xml:space="preserve"> dentro del análisis geográfico. </w:t>
      </w:r>
      <w:r w:rsidR="00CD4247" w:rsidRPr="000C1688">
        <w:rPr>
          <w:rFonts w:ascii="Times New Roman" w:hAnsi="Times New Roman" w:cs="Times New Roman"/>
          <w:sz w:val="24"/>
          <w:szCs w:val="24"/>
          <w:lang w:val="es-ES"/>
        </w:rPr>
        <w:t>Las directrices y zonificaciones</w:t>
      </w:r>
      <w:r w:rsidR="008923E5" w:rsidRPr="000C1688">
        <w:rPr>
          <w:rFonts w:ascii="Times New Roman" w:hAnsi="Times New Roman" w:cs="Times New Roman"/>
          <w:sz w:val="24"/>
          <w:szCs w:val="24"/>
          <w:lang w:val="es-ES"/>
        </w:rPr>
        <w:t xml:space="preserve"> </w:t>
      </w:r>
      <w:r w:rsidR="00CD4247" w:rsidRPr="000C1688">
        <w:rPr>
          <w:rFonts w:ascii="Times New Roman" w:hAnsi="Times New Roman" w:cs="Times New Roman"/>
          <w:sz w:val="24"/>
          <w:szCs w:val="24"/>
          <w:lang w:val="es-ES"/>
        </w:rPr>
        <w:t>d</w:t>
      </w:r>
      <w:r w:rsidR="008923E5" w:rsidRPr="000C1688">
        <w:rPr>
          <w:rFonts w:ascii="Times New Roman" w:hAnsi="Times New Roman" w:cs="Times New Roman"/>
          <w:sz w:val="24"/>
          <w:szCs w:val="24"/>
          <w:lang w:val="es-ES"/>
        </w:rPr>
        <w:t xml:space="preserve">el POT actual (decreto 555 de 2021) no </w:t>
      </w:r>
      <w:r w:rsidR="00FD30A4" w:rsidRPr="000C1688">
        <w:rPr>
          <w:rFonts w:ascii="Times New Roman" w:hAnsi="Times New Roman" w:cs="Times New Roman"/>
          <w:sz w:val="24"/>
          <w:szCs w:val="24"/>
          <w:lang w:val="es-ES"/>
        </w:rPr>
        <w:t xml:space="preserve">se </w:t>
      </w:r>
      <w:r w:rsidR="00CD4247" w:rsidRPr="000C1688">
        <w:rPr>
          <w:rFonts w:ascii="Times New Roman" w:hAnsi="Times New Roman" w:cs="Times New Roman"/>
          <w:sz w:val="24"/>
          <w:szCs w:val="24"/>
          <w:lang w:val="es-ES"/>
        </w:rPr>
        <w:t>consideraron puest</w:t>
      </w:r>
      <w:r w:rsidR="00FD30A4" w:rsidRPr="000C1688">
        <w:rPr>
          <w:rFonts w:ascii="Times New Roman" w:hAnsi="Times New Roman" w:cs="Times New Roman"/>
          <w:sz w:val="24"/>
          <w:szCs w:val="24"/>
          <w:lang w:val="es-ES"/>
        </w:rPr>
        <w:t>o</w:t>
      </w:r>
      <w:r w:rsidR="008923E5" w:rsidRPr="000C1688">
        <w:rPr>
          <w:rFonts w:ascii="Times New Roman" w:hAnsi="Times New Roman" w:cs="Times New Roman"/>
          <w:sz w:val="24"/>
          <w:szCs w:val="24"/>
          <w:lang w:val="es-ES"/>
        </w:rPr>
        <w:t xml:space="preserve"> que </w:t>
      </w:r>
      <w:r w:rsidR="00CD4247" w:rsidRPr="000C1688">
        <w:rPr>
          <w:rFonts w:ascii="Times New Roman" w:hAnsi="Times New Roman" w:cs="Times New Roman"/>
          <w:sz w:val="24"/>
          <w:szCs w:val="24"/>
          <w:lang w:val="es-ES"/>
        </w:rPr>
        <w:t>son</w:t>
      </w:r>
      <w:r w:rsidR="008923E5" w:rsidRPr="000C1688">
        <w:rPr>
          <w:rFonts w:ascii="Times New Roman" w:hAnsi="Times New Roman" w:cs="Times New Roman"/>
          <w:sz w:val="24"/>
          <w:szCs w:val="24"/>
          <w:lang w:val="es-ES"/>
        </w:rPr>
        <w:t xml:space="preserve"> p</w:t>
      </w:r>
      <w:r w:rsidR="006B24B3" w:rsidRPr="000C1688">
        <w:rPr>
          <w:rFonts w:ascii="Times New Roman" w:hAnsi="Times New Roman" w:cs="Times New Roman"/>
          <w:sz w:val="24"/>
          <w:szCs w:val="24"/>
          <w:lang w:val="es-ES"/>
        </w:rPr>
        <w:t>osterior</w:t>
      </w:r>
      <w:r w:rsidR="00CD4247" w:rsidRPr="000C1688">
        <w:rPr>
          <w:rFonts w:ascii="Times New Roman" w:hAnsi="Times New Roman" w:cs="Times New Roman"/>
          <w:sz w:val="24"/>
          <w:szCs w:val="24"/>
          <w:lang w:val="es-ES"/>
        </w:rPr>
        <w:t>es</w:t>
      </w:r>
      <w:r w:rsidR="006B24B3" w:rsidRPr="000C1688">
        <w:rPr>
          <w:rFonts w:ascii="Times New Roman" w:hAnsi="Times New Roman" w:cs="Times New Roman"/>
          <w:sz w:val="24"/>
          <w:szCs w:val="24"/>
          <w:lang w:val="es-ES"/>
        </w:rPr>
        <w:t xml:space="preserve"> al periodo de análisis del artículo.</w:t>
      </w:r>
      <w:r w:rsidR="002A2C41" w:rsidRPr="000C1688">
        <w:rPr>
          <w:rFonts w:ascii="Times New Roman" w:hAnsi="Times New Roman" w:cs="Times New Roman"/>
          <w:sz w:val="24"/>
          <w:szCs w:val="24"/>
          <w:lang w:val="es-ES"/>
        </w:rPr>
        <w:t xml:space="preserve"> </w:t>
      </w:r>
      <w:r w:rsidR="00FD30A4" w:rsidRPr="000C1688">
        <w:rPr>
          <w:rFonts w:ascii="Times New Roman" w:hAnsi="Times New Roman" w:cs="Times New Roman"/>
          <w:sz w:val="24"/>
          <w:szCs w:val="24"/>
          <w:lang w:val="es-ES"/>
        </w:rPr>
        <w:tab/>
      </w:r>
    </w:p>
    <w:p w14:paraId="3C802748" w14:textId="0A99293D" w:rsidR="00625756" w:rsidRPr="000C1688" w:rsidRDefault="00254B5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Otros programas</w:t>
      </w:r>
      <w:r w:rsidRPr="000C1688">
        <w:rPr>
          <w:rFonts w:ascii="Times New Roman" w:hAnsi="Times New Roman" w:cs="Times New Roman"/>
          <w:sz w:val="24"/>
          <w:szCs w:val="24"/>
          <w:lang w:val="es-ES"/>
        </w:rPr>
        <w:t xml:space="preserve">: </w:t>
      </w:r>
      <w:r w:rsidR="00CD4247" w:rsidRPr="000C1688">
        <w:rPr>
          <w:rFonts w:ascii="Times New Roman" w:hAnsi="Times New Roman" w:cs="Times New Roman"/>
          <w:sz w:val="24"/>
          <w:szCs w:val="24"/>
          <w:lang w:val="es-ES"/>
        </w:rPr>
        <w:t xml:space="preserve">Hay dos programas que </w:t>
      </w:r>
      <w:r w:rsidR="003D586E" w:rsidRPr="000C1688">
        <w:rPr>
          <w:rFonts w:ascii="Times New Roman" w:hAnsi="Times New Roman" w:cs="Times New Roman"/>
          <w:sz w:val="24"/>
          <w:szCs w:val="24"/>
          <w:lang w:val="es-ES"/>
        </w:rPr>
        <w:t xml:space="preserve">no solo tiene </w:t>
      </w:r>
      <w:r w:rsidR="00CD4247" w:rsidRPr="000C1688">
        <w:rPr>
          <w:rFonts w:ascii="Times New Roman" w:hAnsi="Times New Roman" w:cs="Times New Roman"/>
          <w:sz w:val="24"/>
          <w:szCs w:val="24"/>
          <w:lang w:val="es-ES"/>
        </w:rPr>
        <w:t>relación geográfica e institucionalmente estrecha con la legalización de barrios</w:t>
      </w:r>
      <w:r w:rsidR="003D586E" w:rsidRPr="000C1688">
        <w:rPr>
          <w:rFonts w:ascii="Times New Roman" w:hAnsi="Times New Roman" w:cs="Times New Roman"/>
          <w:sz w:val="24"/>
          <w:szCs w:val="24"/>
          <w:lang w:val="es-ES"/>
        </w:rPr>
        <w:t>, sino que también ocurren paralelamente en el tiempo</w:t>
      </w:r>
      <w:r w:rsidR="00CD4247" w:rsidRPr="000C1688">
        <w:rPr>
          <w:rFonts w:ascii="Times New Roman" w:hAnsi="Times New Roman" w:cs="Times New Roman"/>
          <w:sz w:val="24"/>
          <w:szCs w:val="24"/>
          <w:lang w:val="es-ES"/>
        </w:rPr>
        <w:t xml:space="preserve">: El mejoramiento integral de barrios, y el programa de reasentamiento. </w:t>
      </w:r>
      <w:r w:rsidR="00394200" w:rsidRPr="000C1688">
        <w:rPr>
          <w:rFonts w:ascii="Times New Roman" w:hAnsi="Times New Roman" w:cs="Times New Roman"/>
          <w:sz w:val="24"/>
          <w:szCs w:val="24"/>
          <w:lang w:val="es-ES"/>
        </w:rPr>
        <w:t>Dentro de la información recopilamos tanto las áreas demarcadas para el tratamiento de mejoramiento integral (ITT-intención de tratar), como las áreas que en efecto fueron tratadas en cada una de las alcaldías del periodo de estudio (</w:t>
      </w:r>
      <w:r w:rsidR="002D54AB" w:rsidRPr="000C1688">
        <w:rPr>
          <w:rFonts w:ascii="Times New Roman" w:hAnsi="Times New Roman" w:cs="Times New Roman"/>
          <w:sz w:val="24"/>
          <w:szCs w:val="24"/>
          <w:lang w:val="es-ES"/>
        </w:rPr>
        <w:t>XXX</w:t>
      </w:r>
      <w:r w:rsidR="00394200" w:rsidRPr="000C1688">
        <w:rPr>
          <w:rFonts w:ascii="Times New Roman" w:hAnsi="Times New Roman" w:cs="Times New Roman"/>
          <w:sz w:val="24"/>
          <w:szCs w:val="24"/>
          <w:lang w:val="es-ES"/>
        </w:rPr>
        <w:t>). Del mismo modo</w:t>
      </w:r>
      <w:r w:rsidR="002D54AB" w:rsidRPr="000C1688">
        <w:rPr>
          <w:rFonts w:ascii="Times New Roman" w:hAnsi="Times New Roman" w:cs="Times New Roman"/>
          <w:sz w:val="24"/>
          <w:szCs w:val="24"/>
          <w:lang w:val="es-ES"/>
        </w:rPr>
        <w:t>, se tomaron los procesos de resecamientos terminados por el IDGER desde el 2005 en adelante.</w:t>
      </w:r>
    </w:p>
    <w:p w14:paraId="6EF75C2E" w14:textId="487F4384" w:rsidR="00FD30A4" w:rsidRPr="000C1688" w:rsidRDefault="00830F24"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 xml:space="preserve">Evolución </w:t>
      </w:r>
      <w:r w:rsidR="00B25AA8" w:rsidRPr="000C1688">
        <w:rPr>
          <w:rFonts w:ascii="Times New Roman" w:hAnsi="Times New Roman" w:cs="Times New Roman"/>
          <w:b/>
          <w:bCs/>
          <w:sz w:val="24"/>
          <w:szCs w:val="24"/>
          <w:lang w:val="es-ES"/>
        </w:rPr>
        <w:t>urbana</w:t>
      </w:r>
      <w:r w:rsidR="00B25AA8" w:rsidRPr="000C1688">
        <w:rPr>
          <w:rFonts w:ascii="Times New Roman" w:hAnsi="Times New Roman" w:cs="Times New Roman"/>
          <w:sz w:val="24"/>
          <w:szCs w:val="24"/>
          <w:lang w:val="es-ES"/>
        </w:rPr>
        <w:t xml:space="preserve">: </w:t>
      </w:r>
      <w:r w:rsidRPr="000C1688">
        <w:rPr>
          <w:rFonts w:ascii="Times New Roman" w:hAnsi="Times New Roman" w:cs="Times New Roman"/>
          <w:sz w:val="24"/>
          <w:szCs w:val="24"/>
          <w:lang w:val="es-ES"/>
        </w:rPr>
        <w:t xml:space="preserve">Para tener en cuenta la heterogeneidad geográfica en la que ocurren las diferentes legalizaciones, se tuvieron en cuenta </w:t>
      </w:r>
      <w:r w:rsidR="004016B8" w:rsidRPr="000C1688">
        <w:rPr>
          <w:rFonts w:ascii="Times New Roman" w:hAnsi="Times New Roman" w:cs="Times New Roman"/>
          <w:sz w:val="24"/>
          <w:szCs w:val="24"/>
          <w:lang w:val="es-ES"/>
        </w:rPr>
        <w:t>variables geográficas tanto</w:t>
      </w:r>
      <w:r w:rsidRPr="000C1688">
        <w:rPr>
          <w:rFonts w:ascii="Times New Roman" w:hAnsi="Times New Roman" w:cs="Times New Roman"/>
          <w:sz w:val="24"/>
          <w:szCs w:val="24"/>
          <w:lang w:val="es-ES"/>
        </w:rPr>
        <w:t xml:space="preserve"> tiempo-variantes como tiempo-invariantes. </w:t>
      </w:r>
      <w:r w:rsidR="0059689E" w:rsidRPr="000C1688">
        <w:rPr>
          <w:rFonts w:ascii="Times New Roman" w:hAnsi="Times New Roman" w:cs="Times New Roman"/>
          <w:sz w:val="24"/>
          <w:szCs w:val="24"/>
          <w:lang w:val="es-ES"/>
        </w:rPr>
        <w:lastRenderedPageBreak/>
        <w:t xml:space="preserve">En las variables variantes en el tiempo </w:t>
      </w:r>
      <w:r w:rsidR="000C5F32" w:rsidRPr="000C1688">
        <w:rPr>
          <w:rFonts w:ascii="Times New Roman" w:hAnsi="Times New Roman" w:cs="Times New Roman"/>
          <w:sz w:val="24"/>
          <w:szCs w:val="24"/>
          <w:lang w:val="es-ES"/>
        </w:rPr>
        <w:t>se reconstruyó la distancia al de sistema metropolitano de transporte (</w:t>
      </w:r>
      <w:r w:rsidR="004016B8" w:rsidRPr="000C1688">
        <w:rPr>
          <w:rFonts w:ascii="Times New Roman" w:hAnsi="Times New Roman" w:cs="Times New Roman"/>
          <w:sz w:val="24"/>
          <w:szCs w:val="24"/>
          <w:lang w:val="es-ES"/>
        </w:rPr>
        <w:t>BRT-</w:t>
      </w:r>
      <w:r w:rsidR="000C5F32" w:rsidRPr="000C1688">
        <w:rPr>
          <w:rFonts w:ascii="Times New Roman" w:hAnsi="Times New Roman" w:cs="Times New Roman"/>
          <w:sz w:val="24"/>
          <w:szCs w:val="24"/>
          <w:lang w:val="es-ES"/>
        </w:rPr>
        <w:t>Transmilenio), a partir de la fecha de construcción de cada una de sus estaciones (desde 2005). Así mimos se construyó la distancia a las estaciones de policía (desde 2005), la construcción de espacio público (desde 2010 en adelante)</w:t>
      </w:r>
      <w:r w:rsidR="006B5585" w:rsidRPr="000C1688">
        <w:rPr>
          <w:rFonts w:ascii="Times New Roman" w:hAnsi="Times New Roman" w:cs="Times New Roman"/>
          <w:sz w:val="24"/>
          <w:szCs w:val="24"/>
          <w:lang w:val="es-ES"/>
        </w:rPr>
        <w:t xml:space="preserve">, y </w:t>
      </w:r>
      <w:r w:rsidR="00664F38" w:rsidRPr="000C1688">
        <w:rPr>
          <w:rFonts w:ascii="Times New Roman" w:hAnsi="Times New Roman" w:cs="Times New Roman"/>
          <w:sz w:val="24"/>
          <w:szCs w:val="24"/>
          <w:lang w:val="es-ES"/>
        </w:rPr>
        <w:t xml:space="preserve">los cambios </w:t>
      </w:r>
      <w:r w:rsidR="006B5585" w:rsidRPr="000C1688">
        <w:rPr>
          <w:rFonts w:ascii="Times New Roman" w:hAnsi="Times New Roman" w:cs="Times New Roman"/>
          <w:sz w:val="24"/>
          <w:szCs w:val="24"/>
          <w:lang w:val="es-ES"/>
        </w:rPr>
        <w:t>catastral</w:t>
      </w:r>
      <w:r w:rsidR="00664F38" w:rsidRPr="000C1688">
        <w:rPr>
          <w:rFonts w:ascii="Times New Roman" w:hAnsi="Times New Roman" w:cs="Times New Roman"/>
          <w:sz w:val="24"/>
          <w:szCs w:val="24"/>
          <w:lang w:val="es-ES"/>
        </w:rPr>
        <w:t>es</w:t>
      </w:r>
      <w:r w:rsidR="006B5585" w:rsidRPr="000C1688">
        <w:rPr>
          <w:rFonts w:ascii="Times New Roman" w:hAnsi="Times New Roman" w:cs="Times New Roman"/>
          <w:sz w:val="24"/>
          <w:szCs w:val="24"/>
          <w:lang w:val="es-ES"/>
        </w:rPr>
        <w:t xml:space="preserve"> (desde el 2012): es decir, </w:t>
      </w:r>
      <w:r w:rsidR="00664F38" w:rsidRPr="000C1688">
        <w:rPr>
          <w:rFonts w:ascii="Times New Roman" w:hAnsi="Times New Roman" w:cs="Times New Roman"/>
          <w:sz w:val="24"/>
          <w:szCs w:val="24"/>
          <w:lang w:val="es-ES"/>
        </w:rPr>
        <w:t xml:space="preserve">los cambios en las </w:t>
      </w:r>
      <w:r w:rsidR="007C42F0" w:rsidRPr="000C1688">
        <w:rPr>
          <w:rFonts w:ascii="Times New Roman" w:hAnsi="Times New Roman" w:cs="Times New Roman"/>
          <w:sz w:val="24"/>
          <w:szCs w:val="24"/>
          <w:lang w:val="es-ES"/>
        </w:rPr>
        <w:t>construcciones</w:t>
      </w:r>
      <w:r w:rsidR="00664F38" w:rsidRPr="000C1688">
        <w:rPr>
          <w:rFonts w:ascii="Times New Roman" w:hAnsi="Times New Roman" w:cs="Times New Roman"/>
          <w:sz w:val="24"/>
          <w:szCs w:val="24"/>
          <w:lang w:val="es-ES"/>
        </w:rPr>
        <w:t xml:space="preserve"> formales registrados por la </w:t>
      </w:r>
      <w:r w:rsidR="007C42F0" w:rsidRPr="000C1688">
        <w:rPr>
          <w:rFonts w:ascii="Times New Roman" w:hAnsi="Times New Roman" w:cs="Times New Roman"/>
          <w:sz w:val="24"/>
          <w:szCs w:val="24"/>
          <w:lang w:val="es-ES"/>
        </w:rPr>
        <w:t>oficina</w:t>
      </w:r>
      <w:r w:rsidR="00664F38" w:rsidRPr="000C1688">
        <w:rPr>
          <w:rFonts w:ascii="Times New Roman" w:hAnsi="Times New Roman" w:cs="Times New Roman"/>
          <w:sz w:val="24"/>
          <w:szCs w:val="24"/>
          <w:lang w:val="es-ES"/>
        </w:rPr>
        <w:t xml:space="preserve"> de catastro de </w:t>
      </w:r>
      <w:r w:rsidR="007C42F0" w:rsidRPr="000C1688">
        <w:rPr>
          <w:rFonts w:ascii="Times New Roman" w:hAnsi="Times New Roman" w:cs="Times New Roman"/>
          <w:sz w:val="24"/>
          <w:szCs w:val="24"/>
          <w:lang w:val="es-ES"/>
        </w:rPr>
        <w:t>Bogotá</w:t>
      </w:r>
      <w:r w:rsidR="006B5585" w:rsidRPr="000C1688">
        <w:rPr>
          <w:rFonts w:ascii="Times New Roman" w:hAnsi="Times New Roman" w:cs="Times New Roman"/>
          <w:sz w:val="24"/>
          <w:szCs w:val="24"/>
          <w:lang w:val="es-ES"/>
        </w:rPr>
        <w:t>. En las variables tiempo-invariantes</w:t>
      </w:r>
      <w:r w:rsidR="00B2295C" w:rsidRPr="000C1688">
        <w:rPr>
          <w:rFonts w:ascii="Times New Roman" w:hAnsi="Times New Roman" w:cs="Times New Roman"/>
          <w:sz w:val="24"/>
          <w:szCs w:val="24"/>
          <w:lang w:val="es-ES"/>
        </w:rPr>
        <w:t xml:space="preserve">, </w:t>
      </w:r>
      <w:r w:rsidR="00EC7548" w:rsidRPr="000C1688">
        <w:rPr>
          <w:rFonts w:ascii="Times New Roman" w:hAnsi="Times New Roman" w:cs="Times New Roman"/>
          <w:sz w:val="24"/>
          <w:szCs w:val="24"/>
          <w:lang w:val="es-ES"/>
        </w:rPr>
        <w:t xml:space="preserve">se tuvieron en cuenta los estratos socioeconómicos, y variables demográficas relacionadas a los censos nacionales del 2005 y 2018. </w:t>
      </w:r>
    </w:p>
    <w:p w14:paraId="73526BBB" w14:textId="77777777" w:rsidR="00B2295C" w:rsidRPr="000C1688" w:rsidRDefault="00B2295C" w:rsidP="00A024ED">
      <w:pPr>
        <w:spacing w:line="360" w:lineRule="auto"/>
        <w:jc w:val="both"/>
        <w:rPr>
          <w:rFonts w:ascii="Times New Roman" w:hAnsi="Times New Roman" w:cs="Times New Roman"/>
          <w:sz w:val="24"/>
          <w:szCs w:val="24"/>
          <w:lang w:val="es-ES"/>
        </w:rPr>
      </w:pPr>
    </w:p>
    <w:p w14:paraId="23B7884F" w14:textId="0AA88F9E" w:rsidR="00ED7844" w:rsidRPr="000C1688" w:rsidRDefault="00ED7844" w:rsidP="00A024ED">
      <w:pPr>
        <w:pStyle w:val="Heading1"/>
        <w:rPr>
          <w:rFonts w:cs="Times New Roman"/>
          <w:lang w:val="es-ES"/>
        </w:rPr>
      </w:pPr>
      <w:r w:rsidRPr="000C1688">
        <w:rPr>
          <w:rFonts w:cs="Times New Roman"/>
          <w:lang w:val="es-ES"/>
        </w:rPr>
        <w:t>Análisis geográfico</w:t>
      </w:r>
    </w:p>
    <w:p w14:paraId="7F9A676D" w14:textId="77777777" w:rsidR="00A024ED" w:rsidRPr="000C1688" w:rsidRDefault="00A024ED" w:rsidP="00A024ED">
      <w:pPr>
        <w:rPr>
          <w:rFonts w:ascii="Times New Roman" w:hAnsi="Times New Roman" w:cs="Times New Roman"/>
          <w:lang w:val="es-ES"/>
        </w:rPr>
      </w:pPr>
    </w:p>
    <w:p w14:paraId="60B9C72D" w14:textId="44F5F71D" w:rsidR="00A25325" w:rsidRPr="000C1688" w:rsidRDefault="003105AE"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Creación de la grilla de análisis:</w:t>
      </w:r>
      <w:r w:rsidRPr="000C1688">
        <w:rPr>
          <w:rFonts w:ascii="Times New Roman" w:hAnsi="Times New Roman" w:cs="Times New Roman"/>
          <w:sz w:val="24"/>
          <w:szCs w:val="24"/>
          <w:lang w:val="es-ES"/>
        </w:rPr>
        <w:t xml:space="preserve"> </w:t>
      </w:r>
      <w:r w:rsidR="003C25E2" w:rsidRPr="000C1688">
        <w:rPr>
          <w:rFonts w:ascii="Times New Roman" w:hAnsi="Times New Roman" w:cs="Times New Roman"/>
          <w:sz w:val="24"/>
          <w:szCs w:val="24"/>
          <w:lang w:val="es-ES"/>
        </w:rPr>
        <w:t>Existen dos principales limitaciones/retos geográficos a la hora de analizar el programa de legalización de barrios. El primero es que l</w:t>
      </w:r>
      <w:r w:rsidR="003543E4" w:rsidRPr="000C1688">
        <w:rPr>
          <w:rFonts w:ascii="Times New Roman" w:hAnsi="Times New Roman" w:cs="Times New Roman"/>
          <w:sz w:val="24"/>
          <w:szCs w:val="24"/>
          <w:lang w:val="es-ES"/>
        </w:rPr>
        <w:t xml:space="preserve">os </w:t>
      </w:r>
      <w:r w:rsidR="003C25E2" w:rsidRPr="000C1688">
        <w:rPr>
          <w:rFonts w:ascii="Times New Roman" w:hAnsi="Times New Roman" w:cs="Times New Roman"/>
          <w:sz w:val="24"/>
          <w:szCs w:val="24"/>
          <w:lang w:val="es-ES"/>
        </w:rPr>
        <w:t>polígonos</w:t>
      </w:r>
      <w:r w:rsidR="003543E4" w:rsidRPr="000C1688">
        <w:rPr>
          <w:rFonts w:ascii="Times New Roman" w:hAnsi="Times New Roman" w:cs="Times New Roman"/>
          <w:sz w:val="24"/>
          <w:szCs w:val="24"/>
          <w:lang w:val="es-ES"/>
        </w:rPr>
        <w:t xml:space="preserve"> de legalización varían en tamaño y forma, </w:t>
      </w:r>
      <w:r w:rsidR="003C25E2" w:rsidRPr="000C1688">
        <w:rPr>
          <w:rFonts w:ascii="Times New Roman" w:hAnsi="Times New Roman" w:cs="Times New Roman"/>
          <w:sz w:val="24"/>
          <w:szCs w:val="24"/>
          <w:lang w:val="es-ES"/>
        </w:rPr>
        <w:t xml:space="preserve">dificultando </w:t>
      </w:r>
      <w:r w:rsidR="003543E4" w:rsidRPr="000C1688">
        <w:rPr>
          <w:rFonts w:ascii="Times New Roman" w:hAnsi="Times New Roman" w:cs="Times New Roman"/>
          <w:sz w:val="24"/>
          <w:szCs w:val="24"/>
          <w:lang w:val="es-ES"/>
        </w:rPr>
        <w:t xml:space="preserve">el análisis geográfico y estadístico al no contar con una unidad homogénea de análisis. Por otro lado, a pesar de que el programa lleva el nombre de “legalización de barrios”, lo cierto es que </w:t>
      </w:r>
      <w:r w:rsidR="003C25E2" w:rsidRPr="000C1688">
        <w:rPr>
          <w:rFonts w:ascii="Times New Roman" w:hAnsi="Times New Roman" w:cs="Times New Roman"/>
          <w:sz w:val="24"/>
          <w:szCs w:val="24"/>
          <w:lang w:val="es-ES"/>
        </w:rPr>
        <w:t xml:space="preserve">los polígonos legalizados no encajan o concuerdan con los límites barriales </w:t>
      </w:r>
      <w:r w:rsidR="009E6113" w:rsidRPr="000C1688">
        <w:rPr>
          <w:rFonts w:ascii="Times New Roman" w:hAnsi="Times New Roman" w:cs="Times New Roman"/>
          <w:sz w:val="24"/>
          <w:szCs w:val="24"/>
          <w:lang w:val="es-ES"/>
        </w:rPr>
        <w:t>oficiales (definidos por la oficina de catastro)</w:t>
      </w:r>
      <w:r w:rsidR="003C25E2" w:rsidRPr="000C1688">
        <w:rPr>
          <w:rFonts w:ascii="Times New Roman" w:hAnsi="Times New Roman" w:cs="Times New Roman"/>
          <w:sz w:val="24"/>
          <w:szCs w:val="24"/>
          <w:lang w:val="es-ES"/>
        </w:rPr>
        <w:t xml:space="preserve">, dificultando así una identificación </w:t>
      </w:r>
      <w:r w:rsidR="00FE66DB" w:rsidRPr="000C1688">
        <w:rPr>
          <w:rFonts w:ascii="Times New Roman" w:hAnsi="Times New Roman" w:cs="Times New Roman"/>
          <w:sz w:val="24"/>
          <w:szCs w:val="24"/>
          <w:lang w:val="es-ES"/>
        </w:rPr>
        <w:t>precisa</w:t>
      </w:r>
      <w:r w:rsidR="003C25E2" w:rsidRPr="000C1688">
        <w:rPr>
          <w:rFonts w:ascii="Times New Roman" w:hAnsi="Times New Roman" w:cs="Times New Roman"/>
          <w:sz w:val="24"/>
          <w:szCs w:val="24"/>
          <w:lang w:val="es-ES"/>
        </w:rPr>
        <w:t xml:space="preserve"> de </w:t>
      </w:r>
      <w:r w:rsidR="00FE66DB" w:rsidRPr="000C1688">
        <w:rPr>
          <w:rFonts w:ascii="Times New Roman" w:hAnsi="Times New Roman" w:cs="Times New Roman"/>
          <w:sz w:val="24"/>
          <w:szCs w:val="24"/>
          <w:lang w:val="es-ES"/>
        </w:rPr>
        <w:t xml:space="preserve">cuales </w:t>
      </w:r>
      <w:r w:rsidR="003C25E2" w:rsidRPr="000C1688">
        <w:rPr>
          <w:rFonts w:ascii="Times New Roman" w:hAnsi="Times New Roman" w:cs="Times New Roman"/>
          <w:sz w:val="24"/>
          <w:szCs w:val="24"/>
          <w:lang w:val="es-ES"/>
        </w:rPr>
        <w:t xml:space="preserve">barrios </w:t>
      </w:r>
      <w:r w:rsidR="00FE66DB" w:rsidRPr="000C1688">
        <w:rPr>
          <w:rFonts w:ascii="Times New Roman" w:hAnsi="Times New Roman" w:cs="Times New Roman"/>
          <w:sz w:val="24"/>
          <w:szCs w:val="24"/>
          <w:lang w:val="es-ES"/>
        </w:rPr>
        <w:t xml:space="preserve">fueron </w:t>
      </w:r>
      <w:r w:rsidR="003C25E2" w:rsidRPr="000C1688">
        <w:rPr>
          <w:rFonts w:ascii="Times New Roman" w:hAnsi="Times New Roman" w:cs="Times New Roman"/>
          <w:sz w:val="24"/>
          <w:szCs w:val="24"/>
          <w:lang w:val="es-ES"/>
        </w:rPr>
        <w:t xml:space="preserve">tratados </w:t>
      </w:r>
      <w:r w:rsidR="00FE66DB" w:rsidRPr="000C1688">
        <w:rPr>
          <w:rFonts w:ascii="Times New Roman" w:hAnsi="Times New Roman" w:cs="Times New Roman"/>
          <w:sz w:val="24"/>
          <w:szCs w:val="24"/>
          <w:lang w:val="es-ES"/>
        </w:rPr>
        <w:t>y cuáles no.</w:t>
      </w:r>
    </w:p>
    <w:p w14:paraId="26120320" w14:textId="7EF275E4" w:rsidR="008E0107" w:rsidRPr="000C1688" w:rsidRDefault="003C25E2"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Para superar estas limitaciones, se construyo una grilla de hexágonos </w:t>
      </w:r>
      <w:r w:rsidR="009E6113" w:rsidRPr="000C1688">
        <w:rPr>
          <w:rFonts w:ascii="Times New Roman" w:hAnsi="Times New Roman" w:cs="Times New Roman"/>
          <w:sz w:val="24"/>
          <w:szCs w:val="24"/>
          <w:lang w:val="es-ES"/>
        </w:rPr>
        <w:t>de 5</w:t>
      </w:r>
      <w:r w:rsidR="00442F5D" w:rsidRPr="000C1688">
        <w:rPr>
          <w:rFonts w:ascii="Times New Roman" w:hAnsi="Times New Roman" w:cs="Times New Roman"/>
          <w:sz w:val="24"/>
          <w:szCs w:val="24"/>
          <w:lang w:val="es-ES"/>
        </w:rPr>
        <w:t xml:space="preserve"> H</w:t>
      </w:r>
      <w:r w:rsidR="009E6113" w:rsidRPr="000C1688">
        <w:rPr>
          <w:rFonts w:ascii="Times New Roman" w:hAnsi="Times New Roman" w:cs="Times New Roman"/>
          <w:sz w:val="24"/>
          <w:szCs w:val="24"/>
          <w:lang w:val="es-ES"/>
        </w:rPr>
        <w:t xml:space="preserve">a </w:t>
      </w:r>
      <w:r w:rsidR="002545E0" w:rsidRPr="000C1688">
        <w:rPr>
          <w:rFonts w:ascii="Times New Roman" w:hAnsi="Times New Roman" w:cs="Times New Roman"/>
          <w:sz w:val="24"/>
          <w:szCs w:val="24"/>
          <w:lang w:val="es-ES"/>
        </w:rPr>
        <w:t xml:space="preserve">que cubrirse </w:t>
      </w:r>
      <w:r w:rsidR="0059799C" w:rsidRPr="000C1688">
        <w:rPr>
          <w:rFonts w:ascii="Times New Roman" w:hAnsi="Times New Roman" w:cs="Times New Roman"/>
          <w:sz w:val="24"/>
          <w:szCs w:val="24"/>
          <w:lang w:val="es-ES"/>
        </w:rPr>
        <w:t>toda el área municipal</w:t>
      </w:r>
      <w:r w:rsidR="002545E0" w:rsidRPr="000C1688">
        <w:rPr>
          <w:rFonts w:ascii="Times New Roman" w:hAnsi="Times New Roman" w:cs="Times New Roman"/>
          <w:sz w:val="24"/>
          <w:szCs w:val="24"/>
          <w:lang w:val="es-ES"/>
        </w:rPr>
        <w:t xml:space="preserve"> de la ciudad (tanto área urbana como rural)</w:t>
      </w:r>
      <w:r w:rsidR="0059799C" w:rsidRPr="000C1688">
        <w:rPr>
          <w:rFonts w:ascii="Times New Roman" w:hAnsi="Times New Roman" w:cs="Times New Roman"/>
          <w:sz w:val="24"/>
          <w:szCs w:val="24"/>
          <w:lang w:val="es-ES"/>
        </w:rPr>
        <w:t xml:space="preserve">, manteniendo solo aquellos cuyo centroide estuviese dentro del perímetro municipal. Para identificar los hexágonos tratados, </w:t>
      </w:r>
      <w:r w:rsidR="003105AE" w:rsidRPr="000C1688">
        <w:rPr>
          <w:rFonts w:ascii="Times New Roman" w:hAnsi="Times New Roman" w:cs="Times New Roman"/>
          <w:sz w:val="24"/>
          <w:szCs w:val="24"/>
          <w:lang w:val="es-ES"/>
        </w:rPr>
        <w:t xml:space="preserve">se identificaron aquellos hexágonos cuyo centroide estuvieses a menos de 20 metros de un polígono de legalización. Posteriormente, </w:t>
      </w:r>
      <w:r w:rsidR="008E0107" w:rsidRPr="000C1688">
        <w:rPr>
          <w:rFonts w:ascii="Times New Roman" w:hAnsi="Times New Roman" w:cs="Times New Roman"/>
          <w:sz w:val="24"/>
          <w:szCs w:val="24"/>
          <w:lang w:val="es-ES"/>
        </w:rPr>
        <w:t>a cada hexágono se le imputo la información de la legalización más cercana respecto a su centroide (ver figura 3.C).</w:t>
      </w:r>
    </w:p>
    <w:p w14:paraId="24162013" w14:textId="1F42E269" w:rsidR="0028444B" w:rsidRPr="000C1688" w:rsidRDefault="008E0107"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Esta opción se escogió por encima de la creación de buffers </w:t>
      </w:r>
      <w:r w:rsidR="00961802" w:rsidRPr="000C1688">
        <w:rPr>
          <w:rFonts w:ascii="Times New Roman" w:hAnsi="Times New Roman" w:cs="Times New Roman"/>
          <w:sz w:val="24"/>
          <w:szCs w:val="24"/>
          <w:lang w:val="es-ES"/>
        </w:rPr>
        <w:t xml:space="preserve">originados </w:t>
      </w:r>
      <w:r w:rsidRPr="000C1688">
        <w:rPr>
          <w:rFonts w:ascii="Times New Roman" w:hAnsi="Times New Roman" w:cs="Times New Roman"/>
          <w:sz w:val="24"/>
          <w:szCs w:val="24"/>
          <w:lang w:val="es-ES"/>
        </w:rPr>
        <w:t xml:space="preserve">desde los polígonos de </w:t>
      </w:r>
      <w:r w:rsidR="00961802" w:rsidRPr="000C1688">
        <w:rPr>
          <w:rFonts w:ascii="Times New Roman" w:hAnsi="Times New Roman" w:cs="Times New Roman"/>
          <w:sz w:val="24"/>
          <w:szCs w:val="24"/>
          <w:lang w:val="es-ES"/>
        </w:rPr>
        <w:t>legalización</w:t>
      </w:r>
      <w:r w:rsidRPr="000C1688">
        <w:rPr>
          <w:rFonts w:ascii="Times New Roman" w:hAnsi="Times New Roman" w:cs="Times New Roman"/>
          <w:sz w:val="24"/>
          <w:szCs w:val="24"/>
          <w:lang w:val="es-ES"/>
        </w:rPr>
        <w:t xml:space="preserve">, </w:t>
      </w:r>
      <w:r w:rsidR="00D5015B" w:rsidRPr="000C1688">
        <w:rPr>
          <w:rFonts w:ascii="Times New Roman" w:hAnsi="Times New Roman" w:cs="Times New Roman"/>
          <w:sz w:val="24"/>
          <w:szCs w:val="24"/>
          <w:lang w:val="es-ES"/>
        </w:rPr>
        <w:t>por</w:t>
      </w:r>
      <w:r w:rsidRPr="000C1688">
        <w:rPr>
          <w:rFonts w:ascii="Times New Roman" w:hAnsi="Times New Roman" w:cs="Times New Roman"/>
          <w:sz w:val="24"/>
          <w:szCs w:val="24"/>
          <w:lang w:val="es-ES"/>
        </w:rPr>
        <w:t xml:space="preserve"> dos argumentos</w:t>
      </w:r>
      <w:r w:rsidR="00961802" w:rsidRPr="000C1688">
        <w:rPr>
          <w:rFonts w:ascii="Times New Roman" w:hAnsi="Times New Roman" w:cs="Times New Roman"/>
          <w:sz w:val="24"/>
          <w:szCs w:val="24"/>
          <w:lang w:val="es-ES"/>
        </w:rPr>
        <w:t>.</w:t>
      </w:r>
      <w:r w:rsidRPr="000C1688">
        <w:rPr>
          <w:rFonts w:ascii="Times New Roman" w:hAnsi="Times New Roman" w:cs="Times New Roman"/>
          <w:sz w:val="24"/>
          <w:szCs w:val="24"/>
          <w:lang w:val="es-ES"/>
        </w:rPr>
        <w:t xml:space="preserve"> </w:t>
      </w:r>
      <w:r w:rsidR="00961802" w:rsidRPr="000C1688">
        <w:rPr>
          <w:rFonts w:ascii="Times New Roman" w:hAnsi="Times New Roman" w:cs="Times New Roman"/>
          <w:sz w:val="24"/>
          <w:szCs w:val="24"/>
          <w:lang w:val="es-ES"/>
        </w:rPr>
        <w:t xml:space="preserve">I) pérdida de información: la existencia de </w:t>
      </w:r>
      <w:r w:rsidRPr="000C1688">
        <w:rPr>
          <w:rFonts w:ascii="Times New Roman" w:hAnsi="Times New Roman" w:cs="Times New Roman"/>
          <w:sz w:val="24"/>
          <w:szCs w:val="24"/>
          <w:lang w:val="es-ES"/>
        </w:rPr>
        <w:t xml:space="preserve">áreas de la ciudad, lejanas de las cualquiera de las legalizaciones analizadas y en las que sin embargo hay </w:t>
      </w:r>
      <w:r w:rsidR="00961802" w:rsidRPr="000C1688">
        <w:rPr>
          <w:rFonts w:ascii="Times New Roman" w:hAnsi="Times New Roman" w:cs="Times New Roman"/>
          <w:sz w:val="24"/>
          <w:szCs w:val="24"/>
          <w:lang w:val="es-ES"/>
        </w:rPr>
        <w:t xml:space="preserve">ocupaciones informales, implica </w:t>
      </w:r>
      <w:r w:rsidR="00141F9E" w:rsidRPr="000C1688">
        <w:rPr>
          <w:rFonts w:ascii="Times New Roman" w:hAnsi="Times New Roman" w:cs="Times New Roman"/>
          <w:sz w:val="24"/>
          <w:szCs w:val="24"/>
          <w:lang w:val="es-ES"/>
        </w:rPr>
        <w:t>que,</w:t>
      </w:r>
      <w:r w:rsidR="00961802" w:rsidRPr="000C1688">
        <w:rPr>
          <w:rFonts w:ascii="Times New Roman" w:hAnsi="Times New Roman" w:cs="Times New Roman"/>
          <w:sz w:val="24"/>
          <w:szCs w:val="24"/>
          <w:lang w:val="es-ES"/>
        </w:rPr>
        <w:t xml:space="preserve"> si se utilizan buffers</w:t>
      </w:r>
      <w:r w:rsidR="00D5015B" w:rsidRPr="000C1688">
        <w:rPr>
          <w:rFonts w:ascii="Times New Roman" w:hAnsi="Times New Roman" w:cs="Times New Roman"/>
          <w:sz w:val="24"/>
          <w:szCs w:val="24"/>
          <w:lang w:val="es-ES"/>
        </w:rPr>
        <w:t>,</w:t>
      </w:r>
      <w:r w:rsidR="00961802" w:rsidRPr="000C1688">
        <w:rPr>
          <w:rFonts w:ascii="Times New Roman" w:hAnsi="Times New Roman" w:cs="Times New Roman"/>
          <w:sz w:val="24"/>
          <w:szCs w:val="24"/>
          <w:lang w:val="es-ES"/>
        </w:rPr>
        <w:t xml:space="preserve"> estas áreas </w:t>
      </w:r>
      <w:r w:rsidR="00442F5D" w:rsidRPr="000C1688">
        <w:rPr>
          <w:rFonts w:ascii="Times New Roman" w:hAnsi="Times New Roman" w:cs="Times New Roman"/>
          <w:sz w:val="24"/>
          <w:szCs w:val="24"/>
          <w:lang w:val="es-ES"/>
        </w:rPr>
        <w:t>se pierd</w:t>
      </w:r>
      <w:r w:rsidR="00D5015B" w:rsidRPr="000C1688">
        <w:rPr>
          <w:rFonts w:ascii="Times New Roman" w:hAnsi="Times New Roman" w:cs="Times New Roman"/>
          <w:sz w:val="24"/>
          <w:szCs w:val="24"/>
          <w:lang w:val="es-ES"/>
        </w:rPr>
        <w:t>e</w:t>
      </w:r>
      <w:r w:rsidR="00442F5D" w:rsidRPr="000C1688">
        <w:rPr>
          <w:rFonts w:ascii="Times New Roman" w:hAnsi="Times New Roman" w:cs="Times New Roman"/>
          <w:sz w:val="24"/>
          <w:szCs w:val="24"/>
          <w:lang w:val="es-ES"/>
        </w:rPr>
        <w:t>n junto a su información</w:t>
      </w:r>
      <w:r w:rsidR="00961802" w:rsidRPr="000C1688">
        <w:rPr>
          <w:rFonts w:ascii="Times New Roman" w:hAnsi="Times New Roman" w:cs="Times New Roman"/>
          <w:sz w:val="24"/>
          <w:szCs w:val="24"/>
          <w:lang w:val="es-ES"/>
        </w:rPr>
        <w:t xml:space="preserve">; II) </w:t>
      </w:r>
      <w:r w:rsidR="00442F5D" w:rsidRPr="000C1688">
        <w:rPr>
          <w:rFonts w:ascii="Times New Roman" w:hAnsi="Times New Roman" w:cs="Times New Roman"/>
          <w:sz w:val="24"/>
          <w:szCs w:val="24"/>
          <w:lang w:val="es-ES"/>
        </w:rPr>
        <w:t xml:space="preserve">interpretabilidad: no solo los </w:t>
      </w:r>
      <w:r w:rsidR="00545320" w:rsidRPr="000C1688">
        <w:rPr>
          <w:rFonts w:ascii="Times New Roman" w:hAnsi="Times New Roman" w:cs="Times New Roman"/>
          <w:sz w:val="24"/>
          <w:szCs w:val="24"/>
          <w:lang w:val="es-ES"/>
        </w:rPr>
        <w:t>hexágonos</w:t>
      </w:r>
      <w:r w:rsidR="00442F5D" w:rsidRPr="000C1688">
        <w:rPr>
          <w:rFonts w:ascii="Times New Roman" w:hAnsi="Times New Roman" w:cs="Times New Roman"/>
          <w:sz w:val="24"/>
          <w:szCs w:val="24"/>
          <w:lang w:val="es-ES"/>
        </w:rPr>
        <w:t xml:space="preserve"> </w:t>
      </w:r>
      <w:r w:rsidR="00545320" w:rsidRPr="000C1688">
        <w:rPr>
          <w:rFonts w:ascii="Times New Roman" w:hAnsi="Times New Roman" w:cs="Times New Roman"/>
          <w:sz w:val="24"/>
          <w:szCs w:val="24"/>
          <w:lang w:val="es-ES"/>
        </w:rPr>
        <w:t>representan</w:t>
      </w:r>
      <w:r w:rsidR="00442F5D" w:rsidRPr="000C1688">
        <w:rPr>
          <w:rFonts w:ascii="Times New Roman" w:hAnsi="Times New Roman" w:cs="Times New Roman"/>
          <w:sz w:val="24"/>
          <w:szCs w:val="24"/>
          <w:lang w:val="es-ES"/>
        </w:rPr>
        <w:t xml:space="preserve"> una unidad analíticamente</w:t>
      </w:r>
      <w:r w:rsidR="00C22E69" w:rsidRPr="000C1688">
        <w:rPr>
          <w:rFonts w:ascii="Times New Roman" w:hAnsi="Times New Roman" w:cs="Times New Roman"/>
          <w:sz w:val="24"/>
          <w:szCs w:val="24"/>
          <w:lang w:val="es-ES"/>
        </w:rPr>
        <w:t xml:space="preserve"> y geográficamente</w:t>
      </w:r>
      <w:r w:rsidR="00442F5D" w:rsidRPr="000C1688">
        <w:rPr>
          <w:rFonts w:ascii="Times New Roman" w:hAnsi="Times New Roman" w:cs="Times New Roman"/>
          <w:sz w:val="24"/>
          <w:szCs w:val="24"/>
          <w:lang w:val="es-ES"/>
        </w:rPr>
        <w:t xml:space="preserve"> uniforme, sino que </w:t>
      </w:r>
      <w:r w:rsidR="00C22E69" w:rsidRPr="000C1688">
        <w:rPr>
          <w:rFonts w:ascii="Times New Roman" w:hAnsi="Times New Roman" w:cs="Times New Roman"/>
          <w:sz w:val="24"/>
          <w:szCs w:val="24"/>
          <w:lang w:val="es-ES"/>
        </w:rPr>
        <w:t xml:space="preserve">es </w:t>
      </w:r>
      <w:r w:rsidR="00545320" w:rsidRPr="000C1688">
        <w:rPr>
          <w:rFonts w:ascii="Times New Roman" w:hAnsi="Times New Roman" w:cs="Times New Roman"/>
          <w:sz w:val="24"/>
          <w:szCs w:val="24"/>
          <w:lang w:val="es-ES"/>
        </w:rPr>
        <w:t xml:space="preserve">más fácil la </w:t>
      </w:r>
      <w:r w:rsidR="00C22E69" w:rsidRPr="000C1688">
        <w:rPr>
          <w:rFonts w:ascii="Times New Roman" w:hAnsi="Times New Roman" w:cs="Times New Roman"/>
          <w:sz w:val="24"/>
          <w:szCs w:val="24"/>
          <w:lang w:val="es-ES"/>
        </w:rPr>
        <w:t xml:space="preserve">interpretación de la </w:t>
      </w:r>
      <w:r w:rsidR="00545320" w:rsidRPr="000C1688">
        <w:rPr>
          <w:rFonts w:ascii="Times New Roman" w:hAnsi="Times New Roman" w:cs="Times New Roman"/>
          <w:sz w:val="24"/>
          <w:szCs w:val="24"/>
          <w:lang w:val="es-ES"/>
        </w:rPr>
        <w:t xml:space="preserve">vecindad </w:t>
      </w:r>
      <w:r w:rsidR="00545320" w:rsidRPr="000C1688">
        <w:rPr>
          <w:rFonts w:ascii="Times New Roman" w:hAnsi="Times New Roman" w:cs="Times New Roman"/>
          <w:sz w:val="24"/>
          <w:szCs w:val="24"/>
          <w:lang w:val="es-ES"/>
        </w:rPr>
        <w:lastRenderedPageBreak/>
        <w:t xml:space="preserve">con áreas no tratadas (la contigüidad de orden </w:t>
      </w:r>
      <w:r w:rsidR="00D5015B" w:rsidRPr="000C1688">
        <w:rPr>
          <w:rFonts w:ascii="Times New Roman" w:hAnsi="Times New Roman" w:cs="Times New Roman"/>
          <w:sz w:val="24"/>
          <w:szCs w:val="24"/>
          <w:lang w:val="es-ES"/>
        </w:rPr>
        <w:t>“</w:t>
      </w:r>
      <w:r w:rsidR="00545320" w:rsidRPr="000C1688">
        <w:rPr>
          <w:rFonts w:ascii="Times New Roman" w:hAnsi="Times New Roman" w:cs="Times New Roman"/>
          <w:i/>
          <w:iCs/>
          <w:sz w:val="24"/>
          <w:szCs w:val="24"/>
          <w:lang w:val="es-ES"/>
        </w:rPr>
        <w:t>n</w:t>
      </w:r>
      <w:r w:rsidR="00D5015B" w:rsidRPr="000C1688">
        <w:rPr>
          <w:rFonts w:ascii="Times New Roman" w:hAnsi="Times New Roman" w:cs="Times New Roman"/>
          <w:sz w:val="24"/>
          <w:szCs w:val="24"/>
          <w:lang w:val="es-ES"/>
        </w:rPr>
        <w:t>”</w:t>
      </w:r>
      <w:r w:rsidR="00545320" w:rsidRPr="000C1688">
        <w:rPr>
          <w:rFonts w:ascii="Times New Roman" w:hAnsi="Times New Roman" w:cs="Times New Roman"/>
          <w:sz w:val="24"/>
          <w:szCs w:val="24"/>
          <w:lang w:val="es-ES"/>
        </w:rPr>
        <w:t xml:space="preserve"> con otros hexágonos</w:t>
      </w:r>
      <w:r w:rsidR="00545320" w:rsidRPr="000C1688">
        <w:rPr>
          <w:rStyle w:val="FootnoteReference"/>
          <w:rFonts w:ascii="Times New Roman" w:hAnsi="Times New Roman" w:cs="Times New Roman"/>
          <w:sz w:val="24"/>
          <w:szCs w:val="24"/>
          <w:lang w:val="es-ES"/>
        </w:rPr>
        <w:footnoteReference w:id="4"/>
      </w:r>
      <w:r w:rsidR="00545320" w:rsidRPr="000C1688">
        <w:rPr>
          <w:rFonts w:ascii="Times New Roman" w:hAnsi="Times New Roman" w:cs="Times New Roman"/>
          <w:sz w:val="24"/>
          <w:szCs w:val="24"/>
          <w:lang w:val="es-ES"/>
        </w:rPr>
        <w:t xml:space="preserve">). Esto último con el fin de más delante analizar </w:t>
      </w:r>
      <w:proofErr w:type="spellStart"/>
      <w:r w:rsidR="00545320" w:rsidRPr="000C1688">
        <w:rPr>
          <w:rFonts w:ascii="Times New Roman" w:hAnsi="Times New Roman" w:cs="Times New Roman"/>
          <w:i/>
          <w:iCs/>
          <w:sz w:val="24"/>
          <w:szCs w:val="24"/>
          <w:lang w:val="es-ES"/>
        </w:rPr>
        <w:t>spillovers</w:t>
      </w:r>
      <w:proofErr w:type="spellEnd"/>
      <w:r w:rsidR="00545320" w:rsidRPr="000C1688">
        <w:rPr>
          <w:rFonts w:ascii="Times New Roman" w:hAnsi="Times New Roman" w:cs="Times New Roman"/>
          <w:sz w:val="24"/>
          <w:szCs w:val="24"/>
          <w:lang w:val="es-ES"/>
        </w:rPr>
        <w:t xml:space="preserve"> espaciales.</w:t>
      </w:r>
    </w:p>
    <w:p w14:paraId="4B6B365E" w14:textId="7D0F9557" w:rsidR="00961802" w:rsidRPr="000C1688" w:rsidRDefault="00961802"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No obstante, también se evaluó la </w:t>
      </w:r>
      <w:r w:rsidR="00545320" w:rsidRPr="000C1688">
        <w:rPr>
          <w:rFonts w:ascii="Times New Roman" w:hAnsi="Times New Roman" w:cs="Times New Roman"/>
          <w:sz w:val="24"/>
          <w:szCs w:val="24"/>
          <w:lang w:val="es-ES"/>
        </w:rPr>
        <w:t xml:space="preserve">utilización de </w:t>
      </w:r>
      <w:r w:rsidR="00141F9E" w:rsidRPr="000C1688">
        <w:rPr>
          <w:rFonts w:ascii="Times New Roman" w:hAnsi="Times New Roman" w:cs="Times New Roman"/>
          <w:sz w:val="24"/>
          <w:szCs w:val="24"/>
          <w:lang w:val="es-ES"/>
        </w:rPr>
        <w:t>hexágonos</w:t>
      </w:r>
      <w:r w:rsidR="00545320" w:rsidRPr="000C1688">
        <w:rPr>
          <w:rFonts w:ascii="Times New Roman" w:hAnsi="Times New Roman" w:cs="Times New Roman"/>
          <w:sz w:val="24"/>
          <w:szCs w:val="24"/>
          <w:lang w:val="es-ES"/>
        </w:rPr>
        <w:t>, pe</w:t>
      </w:r>
      <w:r w:rsidR="00C22E69" w:rsidRPr="000C1688">
        <w:rPr>
          <w:rFonts w:ascii="Times New Roman" w:hAnsi="Times New Roman" w:cs="Times New Roman"/>
          <w:sz w:val="24"/>
          <w:szCs w:val="24"/>
          <w:lang w:val="es-ES"/>
        </w:rPr>
        <w:t xml:space="preserve">ro haciendo una imputación a través de la unión espacial del centroide de cada </w:t>
      </w:r>
      <w:r w:rsidR="00141F9E" w:rsidRPr="000C1688">
        <w:rPr>
          <w:rFonts w:ascii="Times New Roman" w:hAnsi="Times New Roman" w:cs="Times New Roman"/>
          <w:sz w:val="24"/>
          <w:szCs w:val="24"/>
          <w:lang w:val="es-ES"/>
        </w:rPr>
        <w:t>hexágono</w:t>
      </w:r>
      <w:r w:rsidR="00C22E69" w:rsidRPr="000C1688">
        <w:rPr>
          <w:rFonts w:ascii="Times New Roman" w:hAnsi="Times New Roman" w:cs="Times New Roman"/>
          <w:sz w:val="24"/>
          <w:szCs w:val="24"/>
          <w:lang w:val="es-ES"/>
        </w:rPr>
        <w:t xml:space="preserve"> con los polígonos de legalización (figura 3.B)</w:t>
      </w:r>
      <w:r w:rsidR="00141F9E" w:rsidRPr="000C1688">
        <w:rPr>
          <w:rFonts w:ascii="Times New Roman" w:hAnsi="Times New Roman" w:cs="Times New Roman"/>
          <w:sz w:val="24"/>
          <w:szCs w:val="24"/>
          <w:lang w:val="es-ES"/>
        </w:rPr>
        <w:t xml:space="preserve">. Sin embargo, esta aproximación (más clásica) </w:t>
      </w:r>
      <w:r w:rsidR="004B2B2F" w:rsidRPr="000C1688">
        <w:rPr>
          <w:rFonts w:ascii="Times New Roman" w:hAnsi="Times New Roman" w:cs="Times New Roman"/>
          <w:sz w:val="24"/>
          <w:szCs w:val="24"/>
          <w:lang w:val="es-ES"/>
        </w:rPr>
        <w:t xml:space="preserve">tiende a no cubrir por completo el área de los polígonos originales de legalización, así como </w:t>
      </w:r>
      <w:r w:rsidR="00AA691D">
        <w:rPr>
          <w:rFonts w:ascii="Times New Roman" w:hAnsi="Times New Roman" w:cs="Times New Roman"/>
          <w:sz w:val="24"/>
          <w:szCs w:val="24"/>
          <w:lang w:val="es-ES"/>
        </w:rPr>
        <w:t xml:space="preserve">también </w:t>
      </w:r>
      <w:r w:rsidR="004B2B2F" w:rsidRPr="000C1688">
        <w:rPr>
          <w:rFonts w:ascii="Times New Roman" w:hAnsi="Times New Roman" w:cs="Times New Roman"/>
          <w:sz w:val="24"/>
          <w:szCs w:val="24"/>
          <w:lang w:val="es-ES"/>
        </w:rPr>
        <w:t>deja por fuera del análisis procesos de legalizaciones de menor tamaño.</w:t>
      </w:r>
    </w:p>
    <w:p w14:paraId="1032AC68" w14:textId="77777777" w:rsidR="00A024ED" w:rsidRPr="000C1688" w:rsidRDefault="00A024ED" w:rsidP="00A024ED">
      <w:pPr>
        <w:keepNext/>
        <w:spacing w:line="360" w:lineRule="auto"/>
        <w:jc w:val="both"/>
        <w:rPr>
          <w:rFonts w:ascii="Times New Roman" w:hAnsi="Times New Roman" w:cs="Times New Roman"/>
        </w:rPr>
      </w:pPr>
    </w:p>
    <w:p w14:paraId="4388B14D" w14:textId="354DEFE6" w:rsidR="00C22E69" w:rsidRPr="000C1688" w:rsidRDefault="00C22E69" w:rsidP="00A024ED">
      <w:pPr>
        <w:keepNext/>
        <w:spacing w:line="360" w:lineRule="auto"/>
        <w:jc w:val="both"/>
        <w:rPr>
          <w:rFonts w:ascii="Times New Roman" w:hAnsi="Times New Roman" w:cs="Times New Roman"/>
        </w:rPr>
      </w:pPr>
      <w:r w:rsidRPr="000C1688">
        <w:rPr>
          <w:rFonts w:ascii="Times New Roman" w:hAnsi="Times New Roman" w:cs="Times New Roman"/>
          <w:noProof/>
          <w:sz w:val="24"/>
          <w:szCs w:val="24"/>
          <w:lang w:val="es-ES"/>
        </w:rPr>
        <w:drawing>
          <wp:inline distT="0" distB="0" distL="0" distR="0" wp14:anchorId="2391115D" wp14:editId="374F1384">
            <wp:extent cx="6684645" cy="34080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4645" cy="3408045"/>
                    </a:xfrm>
                    <a:prstGeom prst="rect">
                      <a:avLst/>
                    </a:prstGeom>
                    <a:noFill/>
                    <a:ln>
                      <a:noFill/>
                    </a:ln>
                  </pic:spPr>
                </pic:pic>
              </a:graphicData>
            </a:graphic>
          </wp:inline>
        </w:drawing>
      </w:r>
    </w:p>
    <w:p w14:paraId="2D85EBA8" w14:textId="35C3B5CB" w:rsidR="00C22E69" w:rsidRPr="000C1688" w:rsidRDefault="00C22E69" w:rsidP="003B1980">
      <w:pPr>
        <w:pStyle w:val="Caption"/>
        <w:jc w:val="center"/>
        <w:rPr>
          <w:rFonts w:ascii="Times New Roman" w:hAnsi="Times New Roman" w:cs="Times New Roman"/>
          <w:color w:val="000000" w:themeColor="text1"/>
          <w:sz w:val="24"/>
          <w:szCs w:val="24"/>
        </w:rPr>
      </w:pPr>
      <w:r w:rsidRPr="000C1688">
        <w:rPr>
          <w:rFonts w:ascii="Times New Roman" w:hAnsi="Times New Roman" w:cs="Times New Roman"/>
          <w:color w:val="000000" w:themeColor="text1"/>
          <w:sz w:val="24"/>
          <w:szCs w:val="24"/>
        </w:rPr>
        <w:t xml:space="preserve">Figura </w:t>
      </w:r>
      <w:r w:rsidRPr="000C1688">
        <w:rPr>
          <w:rFonts w:ascii="Times New Roman" w:hAnsi="Times New Roman" w:cs="Times New Roman"/>
          <w:color w:val="000000" w:themeColor="text1"/>
          <w:sz w:val="24"/>
          <w:szCs w:val="24"/>
        </w:rPr>
        <w:fldChar w:fldCharType="begin"/>
      </w:r>
      <w:r w:rsidRPr="000C1688">
        <w:rPr>
          <w:rFonts w:ascii="Times New Roman" w:hAnsi="Times New Roman" w:cs="Times New Roman"/>
          <w:color w:val="000000" w:themeColor="text1"/>
          <w:sz w:val="24"/>
          <w:szCs w:val="24"/>
        </w:rPr>
        <w:instrText xml:space="preserve"> SEQ Figura \* ARABIC </w:instrText>
      </w:r>
      <w:r w:rsidRPr="000C1688">
        <w:rPr>
          <w:rFonts w:ascii="Times New Roman" w:hAnsi="Times New Roman" w:cs="Times New Roman"/>
          <w:color w:val="000000" w:themeColor="text1"/>
          <w:sz w:val="24"/>
          <w:szCs w:val="24"/>
        </w:rPr>
        <w:fldChar w:fldCharType="separate"/>
      </w:r>
      <w:r w:rsidRPr="000C1688">
        <w:rPr>
          <w:rFonts w:ascii="Times New Roman" w:hAnsi="Times New Roman" w:cs="Times New Roman"/>
          <w:color w:val="000000" w:themeColor="text1"/>
          <w:sz w:val="24"/>
          <w:szCs w:val="24"/>
        </w:rPr>
        <w:t>3</w:t>
      </w:r>
      <w:r w:rsidRPr="000C1688">
        <w:rPr>
          <w:rFonts w:ascii="Times New Roman" w:hAnsi="Times New Roman" w:cs="Times New Roman"/>
          <w:color w:val="000000" w:themeColor="text1"/>
          <w:sz w:val="24"/>
          <w:szCs w:val="24"/>
        </w:rPr>
        <w:fldChar w:fldCharType="end"/>
      </w:r>
      <w:r w:rsidRPr="000C1688">
        <w:rPr>
          <w:rFonts w:ascii="Times New Roman" w:hAnsi="Times New Roman" w:cs="Times New Roman"/>
          <w:color w:val="000000" w:themeColor="text1"/>
          <w:sz w:val="24"/>
          <w:szCs w:val="24"/>
        </w:rPr>
        <w:t xml:space="preserve">. </w:t>
      </w:r>
      <w:r w:rsidR="003B1980" w:rsidRPr="000C1688">
        <w:rPr>
          <w:rFonts w:ascii="Times New Roman" w:hAnsi="Times New Roman" w:cs="Times New Roman"/>
          <w:color w:val="000000" w:themeColor="text1"/>
          <w:sz w:val="24"/>
          <w:szCs w:val="24"/>
        </w:rPr>
        <w:t>Transformación</w:t>
      </w:r>
      <w:r w:rsidRPr="000C1688">
        <w:rPr>
          <w:rFonts w:ascii="Times New Roman" w:hAnsi="Times New Roman" w:cs="Times New Roman"/>
          <w:color w:val="000000" w:themeColor="text1"/>
          <w:sz w:val="24"/>
          <w:szCs w:val="24"/>
        </w:rPr>
        <w:t xml:space="preserve"> es de la variable tratamiento a una grilla hexagonal.</w:t>
      </w:r>
    </w:p>
    <w:p w14:paraId="2E420F9F" w14:textId="3108A8F2" w:rsidR="003B1980" w:rsidRPr="000C1688" w:rsidRDefault="003B1980" w:rsidP="003B1980">
      <w:pPr>
        <w:spacing w:line="360" w:lineRule="auto"/>
        <w:ind w:left="708" w:right="473"/>
        <w:jc w:val="both"/>
        <w:rPr>
          <w:rFonts w:ascii="Times New Roman" w:hAnsi="Times New Roman" w:cs="Times New Roman"/>
          <w:sz w:val="20"/>
          <w:szCs w:val="20"/>
          <w:lang w:val="es-ES"/>
        </w:rPr>
      </w:pPr>
      <w:r w:rsidRPr="000C1688">
        <w:rPr>
          <w:rFonts w:ascii="Times New Roman" w:hAnsi="Times New Roman" w:cs="Times New Roman"/>
          <w:sz w:val="20"/>
          <w:szCs w:val="20"/>
          <w:lang w:val="es-ES"/>
        </w:rPr>
        <w:t xml:space="preserve">Nota: </w:t>
      </w:r>
      <w:r w:rsidRPr="000C1688">
        <w:rPr>
          <w:rFonts w:ascii="Times New Roman" w:hAnsi="Times New Roman" w:cs="Times New Roman"/>
          <w:b/>
          <w:bCs/>
          <w:sz w:val="20"/>
          <w:szCs w:val="20"/>
          <w:lang w:val="es-ES"/>
        </w:rPr>
        <w:t>A</w:t>
      </w:r>
      <w:r w:rsidRPr="000C1688">
        <w:rPr>
          <w:rFonts w:ascii="Times New Roman" w:hAnsi="Times New Roman" w:cs="Times New Roman"/>
          <w:sz w:val="20"/>
          <w:szCs w:val="20"/>
          <w:lang w:val="es-ES"/>
        </w:rPr>
        <w:t xml:space="preserve">) Polígonos de legalización originales; </w:t>
      </w:r>
      <w:r w:rsidRPr="000C1688">
        <w:rPr>
          <w:rFonts w:ascii="Times New Roman" w:hAnsi="Times New Roman" w:cs="Times New Roman"/>
          <w:b/>
          <w:bCs/>
          <w:sz w:val="20"/>
          <w:szCs w:val="20"/>
          <w:lang w:val="es-ES"/>
        </w:rPr>
        <w:t>B</w:t>
      </w:r>
      <w:r w:rsidRPr="000C1688">
        <w:rPr>
          <w:rFonts w:ascii="Times New Roman" w:hAnsi="Times New Roman" w:cs="Times New Roman"/>
          <w:sz w:val="20"/>
          <w:szCs w:val="20"/>
          <w:lang w:val="es-ES"/>
        </w:rPr>
        <w:t xml:space="preserve">) Unión espacial simple basada en los centroides de la grilla hexagonal; </w:t>
      </w:r>
      <w:r w:rsidRPr="000C1688">
        <w:rPr>
          <w:rFonts w:ascii="Times New Roman" w:hAnsi="Times New Roman" w:cs="Times New Roman"/>
          <w:b/>
          <w:bCs/>
          <w:sz w:val="20"/>
          <w:szCs w:val="20"/>
          <w:lang w:val="es-ES"/>
        </w:rPr>
        <w:t>C</w:t>
      </w:r>
      <w:r w:rsidR="001A5994" w:rsidRPr="000C1688">
        <w:rPr>
          <w:rFonts w:ascii="Times New Roman" w:hAnsi="Times New Roman" w:cs="Times New Roman"/>
          <w:sz w:val="20"/>
          <w:szCs w:val="20"/>
          <w:lang w:val="es-ES"/>
        </w:rPr>
        <w:t>) Unión</w:t>
      </w:r>
      <w:r w:rsidRPr="000C1688">
        <w:rPr>
          <w:rFonts w:ascii="Times New Roman" w:hAnsi="Times New Roman" w:cs="Times New Roman"/>
          <w:sz w:val="20"/>
          <w:szCs w:val="20"/>
          <w:lang w:val="es-ES"/>
        </w:rPr>
        <w:t xml:space="preserve"> </w:t>
      </w:r>
      <w:r w:rsidR="00CE700E" w:rsidRPr="000C1688">
        <w:rPr>
          <w:rFonts w:ascii="Times New Roman" w:hAnsi="Times New Roman" w:cs="Times New Roman"/>
          <w:sz w:val="20"/>
          <w:szCs w:val="20"/>
          <w:lang w:val="es-ES"/>
        </w:rPr>
        <w:t>espacial basada en la entidad más cercana entre los centroides de los hexágonos y los pelignos de legalización, restringiendo la unión hasta un máximo de 20 metros entre los polígonos de legalización y los centroides de la grilla.</w:t>
      </w:r>
      <w:r w:rsidR="00467EEA" w:rsidRPr="000C1688">
        <w:rPr>
          <w:rFonts w:ascii="Times New Roman" w:hAnsi="Times New Roman" w:cs="Times New Roman"/>
          <w:sz w:val="20"/>
          <w:szCs w:val="20"/>
          <w:lang w:val="es-ES"/>
        </w:rPr>
        <w:t xml:space="preserve"> Se puede observar cómo el tercer método (“</w:t>
      </w:r>
      <w:r w:rsidR="00467EEA" w:rsidRPr="000C1688">
        <w:rPr>
          <w:rFonts w:ascii="Times New Roman" w:hAnsi="Times New Roman" w:cs="Times New Roman"/>
          <w:b/>
          <w:bCs/>
          <w:sz w:val="20"/>
          <w:szCs w:val="20"/>
          <w:lang w:val="es-ES"/>
        </w:rPr>
        <w:t>C</w:t>
      </w:r>
      <w:r w:rsidR="00467EEA" w:rsidRPr="000C1688">
        <w:rPr>
          <w:rFonts w:ascii="Times New Roman" w:hAnsi="Times New Roman" w:cs="Times New Roman"/>
          <w:sz w:val="20"/>
          <w:szCs w:val="20"/>
          <w:lang w:val="es-ES"/>
        </w:rPr>
        <w:t>”) logra capturar mejor tanto el área legalizada, como las legalizaciones de menor tamaño.</w:t>
      </w:r>
    </w:p>
    <w:p w14:paraId="466B5483" w14:textId="20842872" w:rsidR="0059799C" w:rsidRPr="000C1688" w:rsidRDefault="000C1688" w:rsidP="00A024ED">
      <w:pPr>
        <w:spacing w:line="360" w:lineRule="auto"/>
        <w:jc w:val="both"/>
        <w:rPr>
          <w:rFonts w:ascii="Times New Roman" w:hAnsi="Times New Roman" w:cs="Times New Roman"/>
          <w:sz w:val="24"/>
          <w:szCs w:val="24"/>
          <w:lang w:val="es-ES"/>
        </w:rPr>
      </w:pPr>
      <w:r>
        <w:rPr>
          <w:rFonts w:ascii="Times New Roman" w:hAnsi="Times New Roman" w:cs="Times New Roman"/>
        </w:rPr>
        <w:lastRenderedPageBreak/>
        <w:t xml:space="preserve">Si bien </w:t>
      </w:r>
      <w:r w:rsidR="00AA691D">
        <w:rPr>
          <w:rFonts w:ascii="Times New Roman" w:hAnsi="Times New Roman" w:cs="Times New Roman"/>
        </w:rPr>
        <w:t xml:space="preserve">la </w:t>
      </w:r>
      <w:r>
        <w:rPr>
          <w:rFonts w:ascii="Times New Roman" w:hAnsi="Times New Roman" w:cs="Times New Roman"/>
        </w:rPr>
        <w:t xml:space="preserve">aproximación </w:t>
      </w:r>
      <w:r w:rsidR="00AA691D">
        <w:rPr>
          <w:rFonts w:ascii="Times New Roman" w:hAnsi="Times New Roman" w:cs="Times New Roman"/>
        </w:rPr>
        <w:t xml:space="preserve">escogida (figura 3.C) </w:t>
      </w:r>
      <w:r>
        <w:rPr>
          <w:rFonts w:ascii="Times New Roman" w:hAnsi="Times New Roman" w:cs="Times New Roman"/>
        </w:rPr>
        <w:t xml:space="preserve">permite tanto una simplificación del análisis como una mayor captura de información de la ciudad, es importante </w:t>
      </w:r>
      <w:r w:rsidR="00AA691D">
        <w:rPr>
          <w:rFonts w:ascii="Times New Roman" w:hAnsi="Times New Roman" w:cs="Times New Roman"/>
        </w:rPr>
        <w:t>que a través de este método se multiplican artificialmente las observaciones</w:t>
      </w:r>
      <w:r>
        <w:rPr>
          <w:rFonts w:ascii="Times New Roman" w:hAnsi="Times New Roman" w:cs="Times New Roman"/>
        </w:rPr>
        <w:t>: pues en vez de tener 1,771 polígonos de legalización</w:t>
      </w:r>
      <w:r w:rsidR="00FC6F7D">
        <w:rPr>
          <w:rFonts w:ascii="Times New Roman" w:hAnsi="Times New Roman" w:cs="Times New Roman"/>
        </w:rPr>
        <w:t xml:space="preserve"> (</w:t>
      </w:r>
      <w:r w:rsidR="002A6DA7">
        <w:rPr>
          <w:rFonts w:ascii="Times New Roman" w:hAnsi="Times New Roman" w:cs="Times New Roman"/>
        </w:rPr>
        <w:t>de las cuales 329 están dentro del periodo de análisis</w:t>
      </w:r>
      <w:r w:rsidR="00FC6F7D">
        <w:rPr>
          <w:rFonts w:ascii="Times New Roman" w:hAnsi="Times New Roman" w:cs="Times New Roman"/>
        </w:rPr>
        <w:t>)</w:t>
      </w:r>
      <w:r>
        <w:rPr>
          <w:rFonts w:ascii="Times New Roman" w:hAnsi="Times New Roman" w:cs="Times New Roman"/>
        </w:rPr>
        <w:t xml:space="preserve">, se obtienen </w:t>
      </w:r>
      <w:r w:rsidR="00FC6F7D">
        <w:rPr>
          <w:rFonts w:ascii="Times New Roman" w:hAnsi="Times New Roman" w:cs="Times New Roman"/>
        </w:rPr>
        <w:t xml:space="preserve">18,256 </w:t>
      </w:r>
      <w:r w:rsidR="002A6DA7">
        <w:rPr>
          <w:rFonts w:ascii="Times New Roman" w:hAnsi="Times New Roman" w:cs="Times New Roman"/>
        </w:rPr>
        <w:t>hexágonos</w:t>
      </w:r>
      <w:r w:rsidR="00FC6F7D">
        <w:rPr>
          <w:rFonts w:ascii="Times New Roman" w:hAnsi="Times New Roman" w:cs="Times New Roman"/>
        </w:rPr>
        <w:t xml:space="preserve"> tratados, de los </w:t>
      </w:r>
      <w:r w:rsidR="002A6DA7">
        <w:rPr>
          <w:rFonts w:ascii="Times New Roman" w:hAnsi="Times New Roman" w:cs="Times New Roman"/>
        </w:rPr>
        <w:t>cuales 1,599</w:t>
      </w:r>
      <w:r w:rsidR="00FC6F7D">
        <w:rPr>
          <w:rFonts w:ascii="Times New Roman" w:hAnsi="Times New Roman" w:cs="Times New Roman"/>
        </w:rPr>
        <w:t xml:space="preserve"> (</w:t>
      </w:r>
      <w:r w:rsidR="002A6DA7">
        <w:rPr>
          <w:rFonts w:ascii="Times New Roman" w:hAnsi="Times New Roman" w:cs="Times New Roman"/>
        </w:rPr>
        <w:t>8,6%</w:t>
      </w:r>
      <w:r w:rsidR="00FC6F7D">
        <w:rPr>
          <w:rFonts w:ascii="Times New Roman" w:hAnsi="Times New Roman" w:cs="Times New Roman"/>
        </w:rPr>
        <w:t>)</w:t>
      </w:r>
      <w:r w:rsidR="002A6DA7">
        <w:rPr>
          <w:rFonts w:ascii="Times New Roman" w:hAnsi="Times New Roman" w:cs="Times New Roman"/>
        </w:rPr>
        <w:t xml:space="preserve"> son tratados durante el periodo de análisis (2005-2019).</w:t>
      </w:r>
      <w:r w:rsidR="00E6726E">
        <w:rPr>
          <w:rFonts w:ascii="Times New Roman" w:hAnsi="Times New Roman" w:cs="Times New Roman"/>
        </w:rPr>
        <w:t xml:space="preserve"> </w:t>
      </w:r>
      <w:r w:rsidR="00AA691D">
        <w:rPr>
          <w:rFonts w:ascii="Times New Roman" w:hAnsi="Times New Roman" w:cs="Times New Roman"/>
        </w:rPr>
        <w:t xml:space="preserve">Esto es un aspecto para considerar a la hora de interpretar la significación espadista de los resultados. </w:t>
      </w:r>
      <w:r w:rsidR="00E6726E">
        <w:rPr>
          <w:rFonts w:ascii="Times New Roman" w:hAnsi="Times New Roman" w:cs="Times New Roman"/>
        </w:rPr>
        <w:t>Al mismo tiempo, el método escogido tiende a sobrerrepresentar espacialmente las legalizaciones de menor tamaño (aunque consideramos que es una mejor opción que ignorarlas).</w:t>
      </w:r>
    </w:p>
    <w:p w14:paraId="6BD2531F" w14:textId="39C87785" w:rsidR="003A6133" w:rsidRPr="000C1688" w:rsidRDefault="00AA691D" w:rsidP="00A024ED">
      <w:pPr>
        <w:spacing w:line="360" w:lineRule="auto"/>
        <w:rPr>
          <w:rFonts w:ascii="Times New Roman" w:hAnsi="Times New Roman" w:cs="Times New Roman"/>
          <w:sz w:val="24"/>
          <w:szCs w:val="24"/>
          <w:lang w:val="es-ES"/>
        </w:rPr>
      </w:pPr>
      <w:r w:rsidRPr="00AA691D">
        <w:rPr>
          <w:rFonts w:ascii="Times New Roman" w:hAnsi="Times New Roman" w:cs="Times New Roman"/>
          <w:b/>
          <w:bCs/>
          <w:sz w:val="24"/>
          <w:szCs w:val="24"/>
          <w:lang w:val="es-ES"/>
        </w:rPr>
        <w:t>Integración de las demás variables en la grilla</w:t>
      </w:r>
      <w:r>
        <w:rPr>
          <w:rFonts w:ascii="Times New Roman" w:hAnsi="Times New Roman" w:cs="Times New Roman"/>
          <w:sz w:val="24"/>
          <w:szCs w:val="24"/>
          <w:lang w:val="es-ES"/>
        </w:rPr>
        <w:t>:</w:t>
      </w:r>
    </w:p>
    <w:p w14:paraId="12167622" w14:textId="0CF20659" w:rsidR="005228B4" w:rsidRPr="000C1688" w:rsidRDefault="005228B4" w:rsidP="00A024ED">
      <w:pPr>
        <w:spacing w:line="360" w:lineRule="auto"/>
        <w:jc w:val="both"/>
        <w:rPr>
          <w:rFonts w:ascii="Times New Roman" w:hAnsi="Times New Roman" w:cs="Times New Roman"/>
          <w:sz w:val="24"/>
          <w:szCs w:val="24"/>
          <w:lang w:val="es-ES"/>
        </w:rPr>
      </w:pPr>
    </w:p>
    <w:p w14:paraId="3BEA4C30" w14:textId="77777777" w:rsidR="005228B4" w:rsidRPr="000C1688" w:rsidRDefault="005228B4" w:rsidP="00A024ED">
      <w:pPr>
        <w:spacing w:line="360" w:lineRule="auto"/>
        <w:jc w:val="both"/>
        <w:rPr>
          <w:rFonts w:ascii="Times New Roman" w:hAnsi="Times New Roman" w:cs="Times New Roman"/>
          <w:sz w:val="24"/>
          <w:szCs w:val="24"/>
          <w:lang w:val="es-ES"/>
        </w:rPr>
      </w:pPr>
    </w:p>
    <w:p w14:paraId="4A574C43" w14:textId="77777777" w:rsidR="006B4601" w:rsidRPr="000C1688" w:rsidRDefault="006B4601" w:rsidP="00A024ED">
      <w:pPr>
        <w:spacing w:line="360" w:lineRule="auto"/>
        <w:jc w:val="both"/>
        <w:rPr>
          <w:rFonts w:ascii="Times New Roman" w:hAnsi="Times New Roman" w:cs="Times New Roman"/>
          <w:sz w:val="24"/>
          <w:szCs w:val="24"/>
          <w:lang w:val="es-ES"/>
        </w:rPr>
      </w:pPr>
    </w:p>
    <w:p w14:paraId="1630FDD0" w14:textId="7D9AB30F" w:rsidR="00ED7844" w:rsidRPr="000C1688" w:rsidRDefault="00ED7844" w:rsidP="00A024ED">
      <w:pPr>
        <w:pStyle w:val="Heading1"/>
        <w:rPr>
          <w:rFonts w:cs="Times New Roman"/>
          <w:lang w:val="es-ES"/>
        </w:rPr>
      </w:pPr>
      <w:r w:rsidRPr="000C1688">
        <w:rPr>
          <w:rFonts w:cs="Times New Roman"/>
          <w:lang w:val="es-ES"/>
        </w:rPr>
        <w:t>Estrategia empírica</w:t>
      </w:r>
    </w:p>
    <w:p w14:paraId="32D44168" w14:textId="5B719CE9" w:rsidR="00C907C3" w:rsidRPr="000C1688" w:rsidRDefault="00C907C3"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La naturaleza institucional y geográfica del programa de legalización de barrios, implica tres retos principales a nivel metodológico: heterogeneidad geográfica, heterogeneidad temporal, </w:t>
      </w:r>
      <w:proofErr w:type="spellStart"/>
      <w:r w:rsidRPr="000C1688">
        <w:rPr>
          <w:rFonts w:ascii="Times New Roman" w:hAnsi="Times New Roman" w:cs="Times New Roman"/>
          <w:sz w:val="24"/>
          <w:szCs w:val="24"/>
          <w:lang w:val="es-ES"/>
        </w:rPr>
        <w:t>hendogeneidad</w:t>
      </w:r>
      <w:proofErr w:type="spellEnd"/>
      <w:r w:rsidRPr="000C1688">
        <w:rPr>
          <w:rFonts w:ascii="Times New Roman" w:hAnsi="Times New Roman" w:cs="Times New Roman"/>
          <w:sz w:val="24"/>
          <w:szCs w:val="24"/>
          <w:lang w:val="es-ES"/>
        </w:rPr>
        <w:t xml:space="preserve"> entre tratamiento y </w:t>
      </w:r>
      <w:proofErr w:type="spellStart"/>
      <w:r w:rsidRPr="000C1688">
        <w:rPr>
          <w:rFonts w:ascii="Times New Roman" w:hAnsi="Times New Roman" w:cs="Times New Roman"/>
          <w:sz w:val="24"/>
          <w:szCs w:val="24"/>
          <w:lang w:val="es-ES"/>
        </w:rPr>
        <w:t>outcome</w:t>
      </w:r>
      <w:proofErr w:type="spellEnd"/>
      <w:r w:rsidRPr="000C1688">
        <w:rPr>
          <w:rFonts w:ascii="Times New Roman" w:hAnsi="Times New Roman" w:cs="Times New Roman"/>
          <w:sz w:val="24"/>
          <w:szCs w:val="24"/>
          <w:lang w:val="es-ES"/>
        </w:rPr>
        <w:t xml:space="preserve">, y contaminación espacial. </w:t>
      </w:r>
    </w:p>
    <w:p w14:paraId="4986C319" w14:textId="43850EF7" w:rsidR="00C95FD6" w:rsidRPr="000C1688" w:rsidRDefault="00C95FD6" w:rsidP="00A024ED">
      <w:pPr>
        <w:pStyle w:val="ListParagraph"/>
        <w:numPr>
          <w:ilvl w:val="0"/>
          <w:numId w:val="2"/>
        </w:numPr>
        <w:spacing w:line="360" w:lineRule="auto"/>
        <w:jc w:val="both"/>
        <w:rPr>
          <w:rFonts w:ascii="Times New Roman" w:hAnsi="Times New Roman" w:cs="Times New Roman"/>
          <w:sz w:val="24"/>
          <w:szCs w:val="24"/>
          <w:lang w:val="es-ES"/>
        </w:rPr>
      </w:pPr>
      <w:proofErr w:type="spellStart"/>
      <w:r w:rsidRPr="000C1688">
        <w:rPr>
          <w:rFonts w:ascii="Times New Roman" w:hAnsi="Times New Roman" w:cs="Times New Roman"/>
          <w:sz w:val="24"/>
          <w:szCs w:val="24"/>
          <w:lang w:val="es-ES"/>
        </w:rPr>
        <w:t>Definción</w:t>
      </w:r>
      <w:proofErr w:type="spellEnd"/>
      <w:r w:rsidRPr="000C1688">
        <w:rPr>
          <w:rFonts w:ascii="Times New Roman" w:hAnsi="Times New Roman" w:cs="Times New Roman"/>
          <w:sz w:val="24"/>
          <w:szCs w:val="24"/>
          <w:lang w:val="es-ES"/>
        </w:rPr>
        <w:t xml:space="preserve"> de grupos</w:t>
      </w:r>
    </w:p>
    <w:p w14:paraId="629BF9B6" w14:textId="73A436BE" w:rsidR="00C95FD6" w:rsidRPr="000C1688" w:rsidRDefault="00C95FD6" w:rsidP="00A024ED">
      <w:pPr>
        <w:pStyle w:val="ListParagraph"/>
        <w:numPr>
          <w:ilvl w:val="0"/>
          <w:numId w:val="2"/>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Estimador general</w:t>
      </w:r>
    </w:p>
    <w:p w14:paraId="4062D8D3" w14:textId="77777777" w:rsidR="006B4601" w:rsidRPr="000C1688" w:rsidRDefault="006B4601" w:rsidP="00A024ED">
      <w:pPr>
        <w:spacing w:line="360" w:lineRule="auto"/>
        <w:jc w:val="both"/>
        <w:rPr>
          <w:rFonts w:ascii="Times New Roman" w:hAnsi="Times New Roman" w:cs="Times New Roman"/>
          <w:sz w:val="24"/>
          <w:szCs w:val="24"/>
          <w:lang w:val="es-ES"/>
        </w:rPr>
      </w:pPr>
    </w:p>
    <w:p w14:paraId="328F3989" w14:textId="77777777" w:rsidR="006B4601" w:rsidRPr="000C1688" w:rsidRDefault="006B4601" w:rsidP="00A024ED">
      <w:pPr>
        <w:spacing w:line="360" w:lineRule="auto"/>
        <w:jc w:val="both"/>
        <w:rPr>
          <w:rFonts w:ascii="Times New Roman" w:hAnsi="Times New Roman" w:cs="Times New Roman"/>
          <w:sz w:val="24"/>
          <w:szCs w:val="24"/>
          <w:lang w:val="es-ES"/>
        </w:rPr>
      </w:pPr>
    </w:p>
    <w:p w14:paraId="4B5F8BB5" w14:textId="6357377B" w:rsidR="00ED7844" w:rsidRPr="000C1688" w:rsidRDefault="00C95FD6"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Restricciones y supuestos</w:t>
      </w:r>
    </w:p>
    <w:p w14:paraId="5F5EA54F" w14:textId="77777777" w:rsidR="006B4601" w:rsidRPr="000C1688" w:rsidRDefault="006B4601" w:rsidP="00A024ED">
      <w:pPr>
        <w:spacing w:line="360" w:lineRule="auto"/>
        <w:jc w:val="both"/>
        <w:rPr>
          <w:rFonts w:ascii="Times New Roman" w:hAnsi="Times New Roman" w:cs="Times New Roman"/>
          <w:sz w:val="24"/>
          <w:szCs w:val="24"/>
          <w:lang w:val="es-ES"/>
        </w:rPr>
      </w:pPr>
    </w:p>
    <w:sectPr w:rsidR="006B4601" w:rsidRPr="000C1688" w:rsidSect="000C7A20">
      <w:pgSz w:w="12240" w:h="15840"/>
      <w:pgMar w:top="1418"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9CCF" w14:textId="77777777" w:rsidR="0090171D" w:rsidRDefault="0090171D" w:rsidP="00A1139B">
      <w:pPr>
        <w:spacing w:after="0" w:line="240" w:lineRule="auto"/>
      </w:pPr>
      <w:r>
        <w:separator/>
      </w:r>
    </w:p>
  </w:endnote>
  <w:endnote w:type="continuationSeparator" w:id="0">
    <w:p w14:paraId="271F4343" w14:textId="77777777" w:rsidR="0090171D" w:rsidRDefault="0090171D" w:rsidP="00A1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2522C" w14:textId="77777777" w:rsidR="0090171D" w:rsidRDefault="0090171D" w:rsidP="00A1139B">
      <w:pPr>
        <w:spacing w:after="0" w:line="240" w:lineRule="auto"/>
      </w:pPr>
      <w:r>
        <w:separator/>
      </w:r>
    </w:p>
  </w:footnote>
  <w:footnote w:type="continuationSeparator" w:id="0">
    <w:p w14:paraId="6E884C2E" w14:textId="77777777" w:rsidR="0090171D" w:rsidRDefault="0090171D" w:rsidP="00A1139B">
      <w:pPr>
        <w:spacing w:after="0" w:line="240" w:lineRule="auto"/>
      </w:pPr>
      <w:r>
        <w:continuationSeparator/>
      </w:r>
    </w:p>
  </w:footnote>
  <w:footnote w:id="1">
    <w:p w14:paraId="71A10277" w14:textId="5C5FCCE5" w:rsidR="00A1139B" w:rsidRPr="00CE37E3" w:rsidRDefault="00A1139B" w:rsidP="00CC1026">
      <w:pPr>
        <w:pStyle w:val="FootnoteText"/>
        <w:jc w:val="both"/>
        <w:rPr>
          <w:rFonts w:ascii="Times New Roman" w:hAnsi="Times New Roman" w:cs="Times New Roman"/>
          <w:lang w:val="es-ES"/>
        </w:rPr>
      </w:pPr>
      <w:r w:rsidRPr="00CE37E3">
        <w:rPr>
          <w:rStyle w:val="FootnoteReference"/>
          <w:rFonts w:ascii="Times New Roman" w:hAnsi="Times New Roman" w:cs="Times New Roman"/>
        </w:rPr>
        <w:footnoteRef/>
      </w:r>
      <w:r w:rsidRPr="00CE37E3">
        <w:rPr>
          <w:rFonts w:ascii="Times New Roman" w:hAnsi="Times New Roman" w:cs="Times New Roman"/>
        </w:rPr>
        <w:t xml:space="preserve"> </w:t>
      </w:r>
      <w:r w:rsidR="00A350AF" w:rsidRPr="00CE37E3">
        <w:rPr>
          <w:rFonts w:ascii="Times New Roman" w:hAnsi="Times New Roman" w:cs="Times New Roman"/>
          <w:lang w:val="es-ES"/>
        </w:rPr>
        <w:t xml:space="preserve">Hoy Bogotá tiene una densidad del 18mil </w:t>
      </w:r>
      <w:proofErr w:type="spellStart"/>
      <w:r w:rsidR="00A350AF" w:rsidRPr="00CE37E3">
        <w:rPr>
          <w:rFonts w:ascii="Times New Roman" w:hAnsi="Times New Roman" w:cs="Times New Roman"/>
          <w:lang w:val="es-ES"/>
        </w:rPr>
        <w:t>hab</w:t>
      </w:r>
      <w:proofErr w:type="spellEnd"/>
      <w:r w:rsidR="00A350AF" w:rsidRPr="00CE37E3">
        <w:rPr>
          <w:rFonts w:ascii="Times New Roman" w:hAnsi="Times New Roman" w:cs="Times New Roman"/>
          <w:lang w:val="es-ES"/>
        </w:rPr>
        <w:t>/km2, siendo así la 46va ciudad más densa del mundo</w:t>
      </w:r>
      <w:r w:rsidR="00CC1026" w:rsidRPr="00CE37E3">
        <w:rPr>
          <w:rFonts w:ascii="Times New Roman" w:hAnsi="Times New Roman" w:cs="Times New Roman"/>
          <w:lang w:val="es-ES"/>
        </w:rPr>
        <w:t xml:space="preserve"> (CITA)</w:t>
      </w:r>
      <w:r w:rsidR="00A350AF" w:rsidRPr="00CE37E3">
        <w:rPr>
          <w:rFonts w:ascii="Times New Roman" w:hAnsi="Times New Roman" w:cs="Times New Roman"/>
          <w:lang w:val="es-ES"/>
        </w:rPr>
        <w:t xml:space="preserve">. Entre 2005 y 2018 esta densidad </w:t>
      </w:r>
      <w:r w:rsidR="00CC1026" w:rsidRPr="00CE37E3">
        <w:rPr>
          <w:rFonts w:ascii="Times New Roman" w:hAnsi="Times New Roman" w:cs="Times New Roman"/>
          <w:lang w:val="es-ES"/>
        </w:rPr>
        <w:t xml:space="preserve">poblacional </w:t>
      </w:r>
      <w:r w:rsidR="00A350AF" w:rsidRPr="00CE37E3">
        <w:rPr>
          <w:rFonts w:ascii="Times New Roman" w:hAnsi="Times New Roman" w:cs="Times New Roman"/>
          <w:lang w:val="es-ES"/>
        </w:rPr>
        <w:t>aumento un 8%</w:t>
      </w:r>
      <w:r w:rsidR="00CC1026" w:rsidRPr="00CE37E3">
        <w:rPr>
          <w:rFonts w:ascii="Times New Roman" w:hAnsi="Times New Roman" w:cs="Times New Roman"/>
          <w:lang w:val="es-ES"/>
        </w:rPr>
        <w:t xml:space="preserve">, y en algunos puntos </w:t>
      </w:r>
      <w:r w:rsidR="00557075" w:rsidRPr="00CE37E3">
        <w:rPr>
          <w:rFonts w:ascii="Times New Roman" w:hAnsi="Times New Roman" w:cs="Times New Roman"/>
          <w:lang w:val="es-ES"/>
        </w:rPr>
        <w:t>h</w:t>
      </w:r>
      <w:r w:rsidR="00CC1026" w:rsidRPr="00CE37E3">
        <w:rPr>
          <w:rFonts w:ascii="Times New Roman" w:hAnsi="Times New Roman" w:cs="Times New Roman"/>
          <w:lang w:val="es-ES"/>
        </w:rPr>
        <w:t xml:space="preserve">a alcanzado densidades superiores a los 73mil hab/km2 (CITA): un valor alto si consideramos que la ciudad más densa del mundo es </w:t>
      </w:r>
      <w:r w:rsidR="00D059E3" w:rsidRPr="00CE37E3">
        <w:rPr>
          <w:rFonts w:ascii="Times New Roman" w:hAnsi="Times New Roman" w:cs="Times New Roman"/>
          <w:lang w:val="es-ES"/>
        </w:rPr>
        <w:t>Dhaka</w:t>
      </w:r>
      <w:r w:rsidR="00CC1026" w:rsidRPr="00CE37E3">
        <w:rPr>
          <w:rFonts w:ascii="Times New Roman" w:hAnsi="Times New Roman" w:cs="Times New Roman"/>
          <w:lang w:val="es-ES"/>
        </w:rPr>
        <w:t xml:space="preserve">, </w:t>
      </w:r>
      <w:r w:rsidR="00D059E3" w:rsidRPr="00CE37E3">
        <w:rPr>
          <w:rFonts w:ascii="Times New Roman" w:hAnsi="Times New Roman" w:cs="Times New Roman"/>
          <w:lang w:val="es-ES"/>
        </w:rPr>
        <w:t>Bangladés</w:t>
      </w:r>
      <w:r w:rsidR="00CC1026" w:rsidRPr="00CE37E3">
        <w:rPr>
          <w:rFonts w:ascii="Times New Roman" w:hAnsi="Times New Roman" w:cs="Times New Roman"/>
          <w:lang w:val="es-ES"/>
        </w:rPr>
        <w:t xml:space="preserve">, con una densidad promedio de 36 mil </w:t>
      </w:r>
      <w:proofErr w:type="spellStart"/>
      <w:r w:rsidR="00CC1026" w:rsidRPr="00CE37E3">
        <w:rPr>
          <w:rFonts w:ascii="Times New Roman" w:hAnsi="Times New Roman" w:cs="Times New Roman"/>
          <w:lang w:val="es-ES"/>
        </w:rPr>
        <w:t>hab</w:t>
      </w:r>
      <w:proofErr w:type="spellEnd"/>
      <w:r w:rsidR="00CC1026" w:rsidRPr="00CE37E3">
        <w:rPr>
          <w:rFonts w:ascii="Times New Roman" w:hAnsi="Times New Roman" w:cs="Times New Roman"/>
          <w:lang w:val="es-ES"/>
        </w:rPr>
        <w:t>/m2.</w:t>
      </w:r>
    </w:p>
    <w:p w14:paraId="0D14A1B6" w14:textId="77777777" w:rsidR="00367DF7" w:rsidRPr="00CE37E3" w:rsidRDefault="00367DF7" w:rsidP="00CC1026">
      <w:pPr>
        <w:pStyle w:val="FootnoteText"/>
        <w:jc w:val="both"/>
        <w:rPr>
          <w:rFonts w:ascii="Times New Roman" w:hAnsi="Times New Roman" w:cs="Times New Roman"/>
          <w:lang w:val="es-ES"/>
        </w:rPr>
      </w:pPr>
    </w:p>
  </w:footnote>
  <w:footnote w:id="2">
    <w:p w14:paraId="1CDFBB42" w14:textId="4991ACB5" w:rsidR="00CC1026" w:rsidRPr="00CE37E3" w:rsidRDefault="00CC1026">
      <w:pPr>
        <w:pStyle w:val="FootnoteText"/>
        <w:rPr>
          <w:rFonts w:ascii="Times New Roman" w:hAnsi="Times New Roman" w:cs="Times New Roman"/>
          <w:lang w:val="es-ES"/>
        </w:rPr>
      </w:pPr>
      <w:r w:rsidRPr="00CE37E3">
        <w:rPr>
          <w:rStyle w:val="FootnoteReference"/>
          <w:rFonts w:ascii="Times New Roman" w:hAnsi="Times New Roman" w:cs="Times New Roman"/>
        </w:rPr>
        <w:footnoteRef/>
      </w:r>
      <w:r w:rsidRPr="00CE37E3">
        <w:rPr>
          <w:rFonts w:ascii="Times New Roman" w:hAnsi="Times New Roman" w:cs="Times New Roman"/>
        </w:rPr>
        <w:t xml:space="preserve"> </w:t>
      </w:r>
      <w:r w:rsidRPr="00CE37E3">
        <w:rPr>
          <w:rFonts w:ascii="Times New Roman" w:hAnsi="Times New Roman" w:cs="Times New Roman"/>
          <w:lang w:val="es-ES"/>
        </w:rPr>
        <w:t>La “ilegalidad” hace referencia a un estatus legal del asentamiento: no tiene licencia o permiso para ocupar la zona que ocupa; mientras que la “informalidad” hace referencia a</w:t>
      </w:r>
      <w:r w:rsidR="00367DF7" w:rsidRPr="00CE37E3">
        <w:rPr>
          <w:rFonts w:ascii="Times New Roman" w:hAnsi="Times New Roman" w:cs="Times New Roman"/>
          <w:lang w:val="es-ES"/>
        </w:rPr>
        <w:t xml:space="preserve"> una</w:t>
      </w:r>
      <w:r w:rsidRPr="00CE37E3">
        <w:rPr>
          <w:rFonts w:ascii="Times New Roman" w:hAnsi="Times New Roman" w:cs="Times New Roman"/>
          <w:lang w:val="es-ES"/>
        </w:rPr>
        <w:t xml:space="preserve"> forma </w:t>
      </w:r>
      <w:r w:rsidR="00367DF7" w:rsidRPr="00CE37E3">
        <w:rPr>
          <w:rFonts w:ascii="Times New Roman" w:hAnsi="Times New Roman" w:cs="Times New Roman"/>
          <w:lang w:val="es-ES"/>
        </w:rPr>
        <w:t>u</w:t>
      </w:r>
      <w:r w:rsidRPr="00CE37E3">
        <w:rPr>
          <w:rFonts w:ascii="Times New Roman" w:hAnsi="Times New Roman" w:cs="Times New Roman"/>
          <w:lang w:val="es-ES"/>
        </w:rPr>
        <w:t xml:space="preserve"> origen de la construcción.</w:t>
      </w:r>
    </w:p>
  </w:footnote>
  <w:footnote w:id="3">
    <w:p w14:paraId="7106881D" w14:textId="5D6D07C9" w:rsidR="00E7048B" w:rsidRPr="00CE37E3" w:rsidRDefault="00E7048B">
      <w:pPr>
        <w:pStyle w:val="FootnoteText"/>
        <w:rPr>
          <w:rFonts w:ascii="Times New Roman" w:hAnsi="Times New Roman" w:cs="Times New Roman"/>
          <w:lang w:val="es-ES"/>
        </w:rPr>
      </w:pPr>
      <w:r w:rsidRPr="00CE37E3">
        <w:rPr>
          <w:rStyle w:val="FootnoteReference"/>
          <w:rFonts w:ascii="Times New Roman" w:hAnsi="Times New Roman" w:cs="Times New Roman"/>
        </w:rPr>
        <w:footnoteRef/>
      </w:r>
      <w:r w:rsidRPr="00CE37E3">
        <w:rPr>
          <w:rFonts w:ascii="Times New Roman" w:hAnsi="Times New Roman" w:cs="Times New Roman"/>
        </w:rPr>
        <w:t xml:space="preserve"> </w:t>
      </w:r>
      <w:r w:rsidRPr="00CE37E3">
        <w:rPr>
          <w:rFonts w:ascii="Times New Roman" w:hAnsi="Times New Roman" w:cs="Times New Roman"/>
          <w:lang w:val="es-ES"/>
        </w:rPr>
        <w:t>En Colombia existen dos tipos de viviendas sociales: Vivienda de interés social (VIS) que por ley tiene un costo máximo de 150 salarios mínimos mensuales (</w:t>
      </w:r>
      <w:r w:rsidR="00742491" w:rsidRPr="00CE37E3">
        <w:rPr>
          <w:rFonts w:ascii="Times New Roman" w:hAnsi="Times New Roman" w:cs="Times New Roman"/>
          <w:lang w:val="es-ES"/>
        </w:rPr>
        <w:t xml:space="preserve">aproximadamente </w:t>
      </w:r>
      <w:r w:rsidRPr="00CE37E3">
        <w:rPr>
          <w:rFonts w:ascii="Times New Roman" w:hAnsi="Times New Roman" w:cs="Times New Roman"/>
          <w:lang w:val="es-ES"/>
        </w:rPr>
        <w:t>$ 34,190 USD</w:t>
      </w:r>
      <w:r w:rsidR="00742491" w:rsidRPr="00CE37E3">
        <w:rPr>
          <w:rFonts w:ascii="Times New Roman" w:hAnsi="Times New Roman" w:cs="Times New Roman"/>
          <w:lang w:val="es-ES"/>
        </w:rPr>
        <w:t>); vivienda</w:t>
      </w:r>
      <w:r w:rsidRPr="00CE37E3">
        <w:rPr>
          <w:rFonts w:ascii="Times New Roman" w:hAnsi="Times New Roman" w:cs="Times New Roman"/>
          <w:lang w:val="es-ES"/>
        </w:rPr>
        <w:t xml:space="preserve"> de interés prioritario (VIP), con un valor máximo de</w:t>
      </w:r>
      <w:r w:rsidR="00742491" w:rsidRPr="00CE37E3">
        <w:rPr>
          <w:rFonts w:ascii="Times New Roman" w:hAnsi="Times New Roman" w:cs="Times New Roman"/>
          <w:lang w:val="es-ES"/>
        </w:rPr>
        <w:t xml:space="preserve"> 110 salarios mínimos mensuales (aproximadamente $ 25,070 USD). Ambas viviendas deben tener un área mínima de 42 m2.</w:t>
      </w:r>
      <w:r w:rsidR="00E8688A" w:rsidRPr="00CE37E3">
        <w:rPr>
          <w:rFonts w:ascii="Times New Roman" w:hAnsi="Times New Roman" w:cs="Times New Roman"/>
          <w:lang w:val="es-ES"/>
        </w:rPr>
        <w:t xml:space="preserve"> Acceder a esta vivienda puede ser difícil para el hogar promedio, si se tiene en cuenta que el 70% de las familias en Colombia sobreviven con menos de un salario mínimo mensual (menos de $ 225 USD aproximadamente)</w:t>
      </w:r>
      <w:r w:rsidR="008252C9" w:rsidRPr="00CE37E3">
        <w:rPr>
          <w:rFonts w:ascii="Times New Roman" w:hAnsi="Times New Roman" w:cs="Times New Roman"/>
          <w:lang w:val="es-ES"/>
        </w:rPr>
        <w:t>, y el 40% de las personas estan en situación en pobreza (tiene ingresos menores a $ 80 USD al mes)</w:t>
      </w:r>
      <w:r w:rsidR="00E8688A" w:rsidRPr="00CE37E3">
        <w:rPr>
          <w:rFonts w:ascii="Times New Roman" w:hAnsi="Times New Roman" w:cs="Times New Roman"/>
          <w:lang w:val="es-ES"/>
        </w:rPr>
        <w:t>.</w:t>
      </w:r>
    </w:p>
  </w:footnote>
  <w:footnote w:id="4">
    <w:p w14:paraId="0E869C35" w14:textId="5838E3C8" w:rsidR="00545320" w:rsidRPr="00CE37E3" w:rsidRDefault="00545320">
      <w:pPr>
        <w:pStyle w:val="FootnoteText"/>
        <w:rPr>
          <w:rFonts w:ascii="Times New Roman" w:hAnsi="Times New Roman" w:cs="Times New Roman"/>
          <w:lang w:val="es-ES"/>
        </w:rPr>
      </w:pPr>
      <w:r w:rsidRPr="00CE37E3">
        <w:rPr>
          <w:rStyle w:val="FootnoteReference"/>
          <w:rFonts w:ascii="Times New Roman" w:hAnsi="Times New Roman" w:cs="Times New Roman"/>
        </w:rPr>
        <w:footnoteRef/>
      </w:r>
      <w:r w:rsidRPr="00CE37E3">
        <w:rPr>
          <w:rFonts w:ascii="Times New Roman" w:hAnsi="Times New Roman" w:cs="Times New Roman"/>
        </w:rPr>
        <w:t xml:space="preserve"> </w:t>
      </w:r>
      <w:r w:rsidR="007E746D">
        <w:rPr>
          <w:rFonts w:ascii="Times New Roman" w:hAnsi="Times New Roman" w:cs="Times New Roman"/>
        </w:rPr>
        <w:t xml:space="preserve">Por esta misma razón se escogió una grilla hexagonal por encima de una rectangular: por la cantidad de vecinos en cada orden </w:t>
      </w:r>
      <w:r w:rsidR="00D5015B">
        <w:rPr>
          <w:rFonts w:ascii="Times New Roman" w:hAnsi="Times New Roman" w:cs="Times New Roman"/>
        </w:rPr>
        <w:t>“</w:t>
      </w:r>
      <w:r w:rsidR="007E746D" w:rsidRPr="00D5015B">
        <w:rPr>
          <w:rFonts w:ascii="Times New Roman" w:hAnsi="Times New Roman" w:cs="Times New Roman"/>
          <w:i/>
          <w:iCs/>
        </w:rPr>
        <w:t>n</w:t>
      </w:r>
      <w:r w:rsidR="00D5015B">
        <w:rPr>
          <w:rFonts w:ascii="Times New Roman" w:hAnsi="Times New Roman" w:cs="Times New Roman"/>
        </w:rPr>
        <w:t>”</w:t>
      </w:r>
      <w:r w:rsidR="007E746D">
        <w:rPr>
          <w:rFonts w:ascii="Times New Roman" w:hAnsi="Times New Roman" w:cs="Times New Roman"/>
        </w:rPr>
        <w:t xml:space="preserve"> de </w:t>
      </w:r>
      <w:r w:rsidR="00D5015B">
        <w:rPr>
          <w:rFonts w:ascii="Times New Roman" w:hAnsi="Times New Roman" w:cs="Times New Roman"/>
        </w:rPr>
        <w:t>vecindada</w:t>
      </w:r>
      <w:r w:rsidR="007E746D">
        <w:rPr>
          <w:rFonts w:ascii="Times New Roman" w:hAnsi="Times New Roman" w:cs="Times New Roman"/>
        </w:rPr>
        <w:t>.</w:t>
      </w:r>
      <w:r w:rsidR="00D5015B">
        <w:rPr>
          <w:rFonts w:ascii="Times New Roman" w:hAnsi="Times New Roman" w:cs="Times New Roman"/>
        </w:rPr>
        <w:t xml:space="preserve"> Adicionalmente, los hexágonos tienen mejor ajuste geográfico con respecto a áreas irregulares comparados con grillas rectangulares.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3056"/>
    <w:multiLevelType w:val="hybridMultilevel"/>
    <w:tmpl w:val="51C4399C"/>
    <w:lvl w:ilvl="0" w:tplc="63B455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C3CFC"/>
    <w:multiLevelType w:val="hybridMultilevel"/>
    <w:tmpl w:val="8A125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220C0"/>
    <w:multiLevelType w:val="multilevel"/>
    <w:tmpl w:val="4F40D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DC1926"/>
    <w:multiLevelType w:val="hybridMultilevel"/>
    <w:tmpl w:val="F7EEE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E0FB8"/>
    <w:multiLevelType w:val="hybridMultilevel"/>
    <w:tmpl w:val="F5ECE7A0"/>
    <w:lvl w:ilvl="0" w:tplc="B8C8576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E6B43"/>
    <w:multiLevelType w:val="hybridMultilevel"/>
    <w:tmpl w:val="2F485460"/>
    <w:lvl w:ilvl="0" w:tplc="B9C8B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571054">
    <w:abstractNumId w:val="2"/>
  </w:num>
  <w:num w:numId="2" w16cid:durableId="1597060447">
    <w:abstractNumId w:val="0"/>
  </w:num>
  <w:num w:numId="3" w16cid:durableId="343477600">
    <w:abstractNumId w:val="4"/>
  </w:num>
  <w:num w:numId="4" w16cid:durableId="287006374">
    <w:abstractNumId w:val="5"/>
  </w:num>
  <w:num w:numId="5" w16cid:durableId="37442380">
    <w:abstractNumId w:val="3"/>
  </w:num>
  <w:num w:numId="6" w16cid:durableId="247931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FD"/>
    <w:rsid w:val="00025D8B"/>
    <w:rsid w:val="00082B2F"/>
    <w:rsid w:val="000A7BFD"/>
    <w:rsid w:val="000B0206"/>
    <w:rsid w:val="000C1688"/>
    <w:rsid w:val="000C5F32"/>
    <w:rsid w:val="000C7A20"/>
    <w:rsid w:val="000D3A14"/>
    <w:rsid w:val="000E0720"/>
    <w:rsid w:val="000F492B"/>
    <w:rsid w:val="00141F9E"/>
    <w:rsid w:val="00142E9F"/>
    <w:rsid w:val="00144165"/>
    <w:rsid w:val="00166E4C"/>
    <w:rsid w:val="001A5994"/>
    <w:rsid w:val="00211E92"/>
    <w:rsid w:val="002145C3"/>
    <w:rsid w:val="0024787F"/>
    <w:rsid w:val="002545E0"/>
    <w:rsid w:val="00254B55"/>
    <w:rsid w:val="0028444B"/>
    <w:rsid w:val="0029026B"/>
    <w:rsid w:val="002A2C41"/>
    <w:rsid w:val="002A3134"/>
    <w:rsid w:val="002A6DA7"/>
    <w:rsid w:val="002D54AB"/>
    <w:rsid w:val="003105AE"/>
    <w:rsid w:val="003543E4"/>
    <w:rsid w:val="00367DF7"/>
    <w:rsid w:val="0037301D"/>
    <w:rsid w:val="00380413"/>
    <w:rsid w:val="00394200"/>
    <w:rsid w:val="003A6133"/>
    <w:rsid w:val="003B1980"/>
    <w:rsid w:val="003C25E2"/>
    <w:rsid w:val="003C4EA3"/>
    <w:rsid w:val="003D586E"/>
    <w:rsid w:val="003F40B5"/>
    <w:rsid w:val="003F75DE"/>
    <w:rsid w:val="004016B8"/>
    <w:rsid w:val="0040195D"/>
    <w:rsid w:val="00442F5D"/>
    <w:rsid w:val="00467EEA"/>
    <w:rsid w:val="004B2B2F"/>
    <w:rsid w:val="004B4C39"/>
    <w:rsid w:val="00510CBB"/>
    <w:rsid w:val="005228B4"/>
    <w:rsid w:val="00545320"/>
    <w:rsid w:val="00557075"/>
    <w:rsid w:val="00565BC1"/>
    <w:rsid w:val="00577D7D"/>
    <w:rsid w:val="0059689E"/>
    <w:rsid w:val="0059799C"/>
    <w:rsid w:val="00625756"/>
    <w:rsid w:val="00664F38"/>
    <w:rsid w:val="00673F2A"/>
    <w:rsid w:val="006857F7"/>
    <w:rsid w:val="006B24B3"/>
    <w:rsid w:val="006B4601"/>
    <w:rsid w:val="006B5585"/>
    <w:rsid w:val="006C349C"/>
    <w:rsid w:val="006C6B53"/>
    <w:rsid w:val="006F1649"/>
    <w:rsid w:val="007236BB"/>
    <w:rsid w:val="00742491"/>
    <w:rsid w:val="007468AB"/>
    <w:rsid w:val="00747D84"/>
    <w:rsid w:val="00762E2C"/>
    <w:rsid w:val="00783C0B"/>
    <w:rsid w:val="007C42F0"/>
    <w:rsid w:val="007E746D"/>
    <w:rsid w:val="00805F9E"/>
    <w:rsid w:val="008252C9"/>
    <w:rsid w:val="00830F24"/>
    <w:rsid w:val="0088530A"/>
    <w:rsid w:val="008923E5"/>
    <w:rsid w:val="008B7D95"/>
    <w:rsid w:val="008D1E0D"/>
    <w:rsid w:val="008E0107"/>
    <w:rsid w:val="008F73BC"/>
    <w:rsid w:val="0090171D"/>
    <w:rsid w:val="00952BD7"/>
    <w:rsid w:val="00961802"/>
    <w:rsid w:val="00972C6C"/>
    <w:rsid w:val="009837EB"/>
    <w:rsid w:val="009D3032"/>
    <w:rsid w:val="009E6113"/>
    <w:rsid w:val="00A024ED"/>
    <w:rsid w:val="00A1139B"/>
    <w:rsid w:val="00A25325"/>
    <w:rsid w:val="00A350AF"/>
    <w:rsid w:val="00A64AF0"/>
    <w:rsid w:val="00A73E7C"/>
    <w:rsid w:val="00AA691D"/>
    <w:rsid w:val="00AE2D3B"/>
    <w:rsid w:val="00B2295C"/>
    <w:rsid w:val="00B238BB"/>
    <w:rsid w:val="00B23ACC"/>
    <w:rsid w:val="00B25AA8"/>
    <w:rsid w:val="00B444CB"/>
    <w:rsid w:val="00BD53FA"/>
    <w:rsid w:val="00C15688"/>
    <w:rsid w:val="00C22E69"/>
    <w:rsid w:val="00C33B45"/>
    <w:rsid w:val="00C8260E"/>
    <w:rsid w:val="00C907C3"/>
    <w:rsid w:val="00C95FD6"/>
    <w:rsid w:val="00CA65E5"/>
    <w:rsid w:val="00CB2601"/>
    <w:rsid w:val="00CC006E"/>
    <w:rsid w:val="00CC1026"/>
    <w:rsid w:val="00CD4247"/>
    <w:rsid w:val="00CE37E3"/>
    <w:rsid w:val="00CE700E"/>
    <w:rsid w:val="00D059E3"/>
    <w:rsid w:val="00D200C8"/>
    <w:rsid w:val="00D20924"/>
    <w:rsid w:val="00D30835"/>
    <w:rsid w:val="00D369DA"/>
    <w:rsid w:val="00D5015B"/>
    <w:rsid w:val="00D7676E"/>
    <w:rsid w:val="00E0548A"/>
    <w:rsid w:val="00E17DC1"/>
    <w:rsid w:val="00E21AD0"/>
    <w:rsid w:val="00E25420"/>
    <w:rsid w:val="00E45428"/>
    <w:rsid w:val="00E45706"/>
    <w:rsid w:val="00E56BF2"/>
    <w:rsid w:val="00E6726E"/>
    <w:rsid w:val="00E7048B"/>
    <w:rsid w:val="00E8688A"/>
    <w:rsid w:val="00E956F6"/>
    <w:rsid w:val="00EB00CB"/>
    <w:rsid w:val="00EC7548"/>
    <w:rsid w:val="00ED7844"/>
    <w:rsid w:val="00F3608C"/>
    <w:rsid w:val="00F57BEB"/>
    <w:rsid w:val="00F8017D"/>
    <w:rsid w:val="00F855B3"/>
    <w:rsid w:val="00F97FD2"/>
    <w:rsid w:val="00FB3BFD"/>
    <w:rsid w:val="00FC6F7D"/>
    <w:rsid w:val="00FD0FBF"/>
    <w:rsid w:val="00FD30A4"/>
    <w:rsid w:val="00FE66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A2B2"/>
  <w15:chartTrackingRefBased/>
  <w15:docId w15:val="{C1FCDCD0-F3B3-4468-8584-5077D0E5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024ED"/>
    <w:pPr>
      <w:keepNext/>
      <w:keepLines/>
      <w:spacing w:before="240" w:after="24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3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A1139B"/>
  </w:style>
  <w:style w:type="paragraph" w:styleId="Footer">
    <w:name w:val="footer"/>
    <w:basedOn w:val="Normal"/>
    <w:link w:val="FooterChar"/>
    <w:uiPriority w:val="99"/>
    <w:unhideWhenUsed/>
    <w:rsid w:val="00A113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A1139B"/>
  </w:style>
  <w:style w:type="paragraph" w:styleId="FootnoteText">
    <w:name w:val="footnote text"/>
    <w:basedOn w:val="Normal"/>
    <w:link w:val="FootnoteTextChar"/>
    <w:uiPriority w:val="99"/>
    <w:semiHidden/>
    <w:unhideWhenUsed/>
    <w:rsid w:val="00A113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39B"/>
    <w:rPr>
      <w:sz w:val="20"/>
      <w:szCs w:val="20"/>
    </w:rPr>
  </w:style>
  <w:style w:type="character" w:styleId="FootnoteReference">
    <w:name w:val="footnote reference"/>
    <w:basedOn w:val="DefaultParagraphFont"/>
    <w:uiPriority w:val="99"/>
    <w:semiHidden/>
    <w:unhideWhenUsed/>
    <w:rsid w:val="00A1139B"/>
    <w:rPr>
      <w:vertAlign w:val="superscript"/>
    </w:rPr>
  </w:style>
  <w:style w:type="paragraph" w:styleId="Caption">
    <w:name w:val="caption"/>
    <w:basedOn w:val="Normal"/>
    <w:next w:val="Normal"/>
    <w:uiPriority w:val="35"/>
    <w:unhideWhenUsed/>
    <w:qFormat/>
    <w:rsid w:val="007236BB"/>
    <w:pPr>
      <w:spacing w:after="200" w:line="240" w:lineRule="auto"/>
    </w:pPr>
    <w:rPr>
      <w:i/>
      <w:iCs/>
      <w:color w:val="44546A" w:themeColor="text2"/>
      <w:sz w:val="18"/>
      <w:szCs w:val="18"/>
    </w:rPr>
  </w:style>
  <w:style w:type="paragraph" w:styleId="ListParagraph">
    <w:name w:val="List Paragraph"/>
    <w:basedOn w:val="Normal"/>
    <w:uiPriority w:val="34"/>
    <w:qFormat/>
    <w:rsid w:val="00ED7844"/>
    <w:pPr>
      <w:ind w:left="720"/>
      <w:contextualSpacing/>
    </w:pPr>
  </w:style>
  <w:style w:type="character" w:customStyle="1" w:styleId="Heading1Char">
    <w:name w:val="Heading 1 Char"/>
    <w:basedOn w:val="DefaultParagraphFont"/>
    <w:link w:val="Heading1"/>
    <w:uiPriority w:val="9"/>
    <w:rsid w:val="00A024ED"/>
    <w:rPr>
      <w:rFonts w:ascii="Times New Roman" w:eastAsiaTheme="majorEastAsia" w:hAnsi="Times New Roman" w:cstheme="majorBidi"/>
      <w:b/>
      <w:sz w:val="32"/>
      <w:szCs w:val="32"/>
    </w:rPr>
  </w:style>
  <w:style w:type="paragraph" w:styleId="Title">
    <w:name w:val="Title"/>
    <w:basedOn w:val="Normal"/>
    <w:next w:val="Normal"/>
    <w:link w:val="TitleChar"/>
    <w:autoRedefine/>
    <w:uiPriority w:val="10"/>
    <w:qFormat/>
    <w:rsid w:val="00A024ED"/>
    <w:pPr>
      <w:spacing w:after="0" w:line="240" w:lineRule="auto"/>
      <w:contextualSpacing/>
      <w:jc w:val="center"/>
    </w:pPr>
    <w:rPr>
      <w:rFonts w:ascii="Times New Roman" w:eastAsiaTheme="majorEastAsia" w:hAnsi="Times New Roman" w:cstheme="majorBidi"/>
      <w:spacing w:val="-10"/>
      <w:kern w:val="28"/>
      <w:sz w:val="36"/>
      <w:szCs w:val="56"/>
    </w:rPr>
  </w:style>
  <w:style w:type="character" w:customStyle="1" w:styleId="TitleChar">
    <w:name w:val="Title Char"/>
    <w:basedOn w:val="DefaultParagraphFont"/>
    <w:link w:val="Title"/>
    <w:uiPriority w:val="10"/>
    <w:rsid w:val="00A024ED"/>
    <w:rPr>
      <w:rFonts w:ascii="Times New Roman" w:eastAsiaTheme="majorEastAsia" w:hAnsi="Times New Roman" w:cstheme="majorBidi"/>
      <w:spacing w:val="-10"/>
      <w:kern w:val="28"/>
      <w:sz w:val="36"/>
      <w:szCs w:val="56"/>
    </w:rPr>
  </w:style>
  <w:style w:type="paragraph" w:styleId="Subtitle">
    <w:name w:val="Subtitle"/>
    <w:basedOn w:val="Normal"/>
    <w:next w:val="Normal"/>
    <w:link w:val="SubtitleChar"/>
    <w:autoRedefine/>
    <w:uiPriority w:val="11"/>
    <w:qFormat/>
    <w:rsid w:val="00A024ED"/>
    <w:pPr>
      <w:numPr>
        <w:ilvl w:val="1"/>
      </w:numPr>
      <w:jc w:val="center"/>
    </w:pPr>
    <w:rPr>
      <w:rFonts w:ascii="Times New Roman" w:eastAsiaTheme="minorEastAsia" w:hAnsi="Times New Roman"/>
      <w:color w:val="5A5A5A" w:themeColor="text1" w:themeTint="A5"/>
      <w:spacing w:val="15"/>
      <w:sz w:val="24"/>
    </w:rPr>
  </w:style>
  <w:style w:type="character" w:customStyle="1" w:styleId="SubtitleChar">
    <w:name w:val="Subtitle Char"/>
    <w:basedOn w:val="DefaultParagraphFont"/>
    <w:link w:val="Subtitle"/>
    <w:uiPriority w:val="11"/>
    <w:rsid w:val="00A024ED"/>
    <w:rPr>
      <w:rFonts w:ascii="Times New Roman" w:eastAsiaTheme="minorEastAsia" w:hAnsi="Times New Roman"/>
      <w:color w:val="5A5A5A" w:themeColor="text1" w:themeTint="A5"/>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1BB5-F965-43FA-83D5-8805188A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6249</TotalTime>
  <Pages>11</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Guibor Camargo Salamanca</dc:creator>
  <cp:keywords/>
  <dc:description/>
  <cp:lastModifiedBy>Guibor Camargo Salamanca</cp:lastModifiedBy>
  <cp:revision>28</cp:revision>
  <dcterms:created xsi:type="dcterms:W3CDTF">2022-09-14T23:07:00Z</dcterms:created>
  <dcterms:modified xsi:type="dcterms:W3CDTF">2022-09-21T04:21:00Z</dcterms:modified>
</cp:coreProperties>
</file>