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1E3A5F"/>
          <w:sz w:val="52"/>
          <w:szCs w:val="52"/>
        </w:rPr>
        <w:t xml:space="preserve">Sistema de Calificación de Clientes</w:t>
      </w:r>
    </w:p>
    <w:p>
      <w:pPr>
        <w:spacing w:before="200" w:after="400"/>
      </w:pPr>
      <w:r>
        <w:rPr>
          <w:rFonts w:ascii="Arial" w:cs="Arial" w:eastAsia="Arial" w:hAnsi="Arial"/>
          <w:i/>
          <w:iCs/>
          <w:color w:val="5A7FA8"/>
          <w:sz w:val="28"/>
          <w:szCs w:val="28"/>
        </w:rPr>
        <w:t xml:space="preserve">Modelo de scoring ponderado para toma de decisiones comerciales</w:t>
      </w:r>
    </w:p>
    <w:p>
      <w:pPr>
        <w:pBdr>
          <w:bottom w:val="single" w:color="2E75B6" w:sz="6" w:space="1"/>
        </w:pBdr>
        <w:spacing w:before="0" w:after="400"/>
      </w:pPr>
      <w:r>
        <w:t xml:space="preserve"/>
      </w:r>
    </w:p>
    <w:p>
      <w:pPr>
        <w:spacing w:before="60" w:after="100"/>
      </w:pPr>
      <w:r>
        <w:rPr>
          <w:rFonts w:ascii="Arial" w:cs="Arial" w:eastAsia="Arial" w:hAnsi="Arial"/>
          <w:i/>
          <w:iCs/>
          <w:color w:val="888888"/>
          <w:sz w:val="22"/>
          <w:szCs w:val="22"/>
        </w:rPr>
        <w:t xml:space="preserve">Versión 2.0  |  Uso interno</w:t>
      </w:r>
    </w:p>
    <w:p>
      <w:pPr>
        <w:spacing w:before="80" w:after="80"/>
      </w:pPr>
      <w:r>
        <w:t xml:space="preserve"/>
      </w:r>
    </w:p>
    <w:p>
      <w:pPr>
        <w:pStyle w:val="Heading1"/>
        <w:spacing w:before="320" w:after="160"/>
      </w:pPr>
      <w:r>
        <w:rPr>
          <w:rFonts w:ascii="Arial" w:cs="Arial" w:eastAsia="Arial" w:hAnsi="Arial"/>
          <w:b/>
          <w:bCs/>
          <w:color w:val="1E3A5F"/>
          <w:sz w:val="32"/>
          <w:szCs w:val="32"/>
        </w:rPr>
        <w:t xml:space="preserve">1. Objetivo del sistema</w:t>
      </w:r>
    </w:p>
    <w:p>
      <w:pPr>
        <w:spacing w:before="60" w:after="100"/>
      </w:pPr>
      <w:r>
        <w:rPr>
          <w:rFonts w:ascii="Arial" w:cs="Arial" w:eastAsia="Arial" w:hAnsi="Arial"/>
          <w:sz w:val="22"/>
          <w:szCs w:val="22"/>
        </w:rPr>
        <w:t xml:space="preserve">Este modelo asigna a cada cliente una calificación de 1 a 10 combinando seis variables ponderadas según su impacto estratégico para la empresa. El objetivo es asistir tres decisiones clave:</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Planificación de cobranza y crédito: determinar plazos, límites y alertas por cliente.</w:t>
      </w:r>
    </w:p>
    <w:p>
      <w:pPr>
        <w:pStyle w:val="ListParagraph"/>
        <w:numPr>
          <w:ilvl w:val="0"/>
          <w:numId w:val="2"/>
        </w:numPr>
        <w:spacing w:before="40" w:after="40"/>
      </w:pPr>
      <w:r>
        <w:rPr>
          <w:rFonts w:ascii="Arial" w:cs="Arial" w:eastAsia="Arial" w:hAnsi="Arial"/>
          <w:sz w:val="22"/>
          <w:szCs w:val="22"/>
        </w:rPr>
        <w:t xml:space="preserve">Identificación de clientes a abandonar: detectar relaciones comerciales que generan más costo que valor.</w:t>
      </w:r>
    </w:p>
    <w:p>
      <w:pPr>
        <w:pStyle w:val="ListParagraph"/>
        <w:numPr>
          <w:ilvl w:val="0"/>
          <w:numId w:val="2"/>
        </w:numPr>
        <w:spacing w:before="40" w:after="40"/>
      </w:pPr>
      <w:r>
        <w:rPr>
          <w:rFonts w:ascii="Arial" w:cs="Arial" w:eastAsia="Arial" w:hAnsi="Arial"/>
          <w:sz w:val="22"/>
          <w:szCs w:val="22"/>
        </w:rPr>
        <w:t xml:space="preserve">Negociación y revisión de condiciones: fundamentar conversaciones sobre plazos y contratos.</w:t>
      </w:r>
    </w:p>
    <w:p>
      <w:pPr>
        <w:spacing w:before="80" w:after="80"/>
      </w:pPr>
      <w:r>
        <w:t xml:space="preserve"/>
      </w:r>
    </w:p>
    <w:p>
      <w:pPr>
        <w:pStyle w:val="Heading1"/>
        <w:spacing w:before="320" w:after="160"/>
      </w:pPr>
      <w:r>
        <w:rPr>
          <w:rFonts w:ascii="Arial" w:cs="Arial" w:eastAsia="Arial" w:hAnsi="Arial"/>
          <w:b/>
          <w:bCs/>
          <w:color w:val="1E3A5F"/>
          <w:sz w:val="32"/>
          <w:szCs w:val="32"/>
        </w:rPr>
        <w:t xml:space="preserve">2. Variables y ponderaciones</w:t>
      </w:r>
    </w:p>
    <w:p>
      <w:pPr>
        <w:spacing w:before="60" w:after="100"/>
      </w:pPr>
      <w:r>
        <w:rPr>
          <w:rFonts w:ascii="Arial" w:cs="Arial" w:eastAsia="Arial" w:hAnsi="Arial"/>
          <w:sz w:val="22"/>
          <w:szCs w:val="22"/>
        </w:rPr>
        <w:t xml:space="preserve">El modelo evalúa seis dimensiones. Cada variable se puntúa de 1 a 10 y se multiplica por su peso relativo. La suma ponderada produce el puntaje final del cliente.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0"/>
        <w:gridCol w:w="3900"/>
        <w:gridCol w:w="2480"/>
      </w:tblGrid>
      <w:tr>
        <w:trPr>
          <w:tblHeader/>
        </w:trPr>
        <w:tc>
          <w:tcPr>
            <w:tcW w:type="dxa" w:w="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w:t>
            </w:r>
          </w:p>
        </w:tc>
        <w:tc>
          <w:tcPr>
            <w:tcW w:type="dxa" w:w="3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 (1–10)</w:t>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Comportamiento de pago</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29%</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Demora relativa al plazo pactado de cada cliente: (días reales cobrado − días pactados) / días pactados. Así un cliente a 30 días que paga a 45 equivale al mismo porcentaje que uno a 60 días que paga a 90.</w:t>
            </w:r>
          </w:p>
        </w:tc>
        <w:tc>
          <w:tcPr>
            <w:tcW w:type="dxa" w:w="2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10 = ≤0% demora (paga en término)
7 = 1%–25% sobre el plazo
5 = 26%–50% sobre el plazo
3 = 51%–100% sobre el plazo
1 = &gt;100% sobre el plazo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Volumen de facturación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Facturación anual del cliente expresada como percentil dentro de la cartera.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 = top 10%
7 = top 25%
5 = top 50%
3 = bottom 25%
1 = bottom 10%</w:t>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Riesgo de concentración de stock</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18%</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Penaliza cuando el cliente consume productos exclusivos o poco diversificados. Se aplica flag especial si es el único consumidor de un producto.</w:t>
            </w:r>
          </w:p>
        </w:tc>
        <w:tc>
          <w:tcPr>
            <w:tcW w:type="dxa" w:w="2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10 = consume las 3 familias sin exclusividad
7 = consume las 3 familias pero con exclusividad en algún producto
5 = consume 2 familias
3 = consume 1 familia (producto compartido)
1 = consume 1 familia con producto exclusivo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Frecuencia de contacto / actividad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Días transcurridos desde el último pedido registrado. Clientes muy esporádicos representan riesgo de churn.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 = ≤7 días
7 = 8–15 días
5 = 16–30 días
3 = 31–90 días
1 = &gt;90 días</w:t>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Diversidad de familias de producto</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12%</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Cuántas de las 3 familias disponibles (Lubricantes, Limpiadores, Accesorios) consume activamente el cliente.</w:t>
            </w:r>
          </w:p>
        </w:tc>
        <w:tc>
          <w:tcPr>
            <w:tcW w:type="dxa" w:w="2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8"/>
                <w:szCs w:val="18"/>
              </w:rPr>
              <w:t xml:space="preserve">10 = consume las 3 familias
5 = consume 2 familias
1 = consume solo 1 familia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Antigüedad y estabilidad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Años como cliente activo. Mayor antigüedad implica mayor costo de reemplazo y menor riesgo de abandono.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 = ≥5 años
7 = 3–4 años
5 = 2 años
3 = 1 año
1 = &lt;6 meses</w:t>
            </w:r>
          </w:p>
        </w:tc>
      </w:tr>
    </w:tbl>
    <w:p>
      <w:pPr>
        <w:spacing w:before="80" w:after="80"/>
      </w:pPr>
      <w:r>
        <w:t xml:space="preserve"/>
      </w:r>
    </w:p>
    <w:p>
      <w:pPr>
        <w:spacing w:before="60" w:after="100"/>
      </w:pPr>
      <w:r>
        <w:rPr>
          <w:rFonts w:ascii="Arial" w:cs="Arial" w:eastAsia="Arial" w:hAnsi="Arial"/>
          <w:i/>
          <w:iCs/>
          <w:color w:val="888888"/>
          <w:sz w:val="22"/>
          <w:szCs w:val="22"/>
        </w:rPr>
        <w:t xml:space="preserve">NOTA: El peso total suma 101% por redondeo. En caso de empate en el puntaje final, el desempate se resuelve por V1 (Comportamiento de pago).</w:t>
      </w:r>
    </w:p>
    <w:p>
      <w:pPr>
        <w:spacing w:before="80" w:after="80"/>
      </w:pPr>
      <w:r>
        <w:t xml:space="preserve"/>
      </w:r>
    </w:p>
    <w:p>
      <w:pPr>
        <w:pStyle w:val="Heading1"/>
        <w:spacing w:before="320" w:after="160"/>
      </w:pPr>
      <w:r>
        <w:rPr>
          <w:rFonts w:ascii="Arial" w:cs="Arial" w:eastAsia="Arial" w:hAnsi="Arial"/>
          <w:b/>
          <w:bCs/>
          <w:color w:val="1E3A5F"/>
          <w:sz w:val="32"/>
          <w:szCs w:val="32"/>
        </w:rPr>
        <w:t xml:space="preserve">3. Fórmula de cálculo</w:t>
      </w:r>
    </w:p>
    <w:p>
      <w:pPr>
        <w:spacing w:before="80" w:after="80"/>
      </w:pPr>
      <w:r>
        <w:t xml:space="preserve"/>
      </w:r>
    </w:p>
    <w:p>
      <w:pPr>
        <w:spacing w:before="160" w:after="80"/>
        <w:jc w:val="center"/>
      </w:pPr>
      <w:r>
        <w:rPr>
          <w:rFonts w:ascii="Courier New" w:cs="Courier New" w:eastAsia="Courier New" w:hAnsi="Courier New"/>
          <w:b/>
          <w:bCs/>
          <w:color w:val="1E3A5F"/>
          <w:sz w:val="24"/>
          <w:szCs w:val="24"/>
        </w:rPr>
        <w:t xml:space="preserve">Score = (V1 × 0.29) + (V2 × 0.24) + (V3 × 0.18)</w:t>
      </w:r>
    </w:p>
    <w:p>
      <w:pPr>
        <w:spacing w:before="0" w:after="160"/>
        <w:jc w:val="center"/>
      </w:pPr>
      <w:r>
        <w:rPr>
          <w:rFonts w:ascii="Courier New" w:cs="Courier New" w:eastAsia="Courier New" w:hAnsi="Courier New"/>
          <w:b/>
          <w:bCs/>
          <w:color w:val="1E3A5F"/>
          <w:sz w:val="24"/>
          <w:szCs w:val="24"/>
        </w:rPr>
        <w:t xml:space="preserve">       + (V4 × 0.12) + (V5 × 0.12) + (V6 × 0.06)</w:t>
      </w:r>
    </w:p>
    <w:p>
      <w:pPr>
        <w:spacing w:before="80" w:after="80"/>
      </w:pPr>
      <w:r>
        <w:t xml:space="preserve"/>
      </w:r>
    </w:p>
    <w:p>
      <w:pPr>
        <w:spacing w:before="200" w:after="80"/>
      </w:pPr>
      <w:r>
        <w:rPr>
          <w:rFonts w:ascii="Arial" w:cs="Arial" w:eastAsia="Arial" w:hAnsi="Arial"/>
          <w:b/>
          <w:bCs/>
          <w:color w:val="1E3A5F"/>
          <w:sz w:val="24"/>
          <w:szCs w:val="24"/>
        </w:rPr>
        <w:t xml:space="preserve">Variables:</w:t>
      </w:r>
    </w:p>
    <w:p>
      <w:pPr>
        <w:pStyle w:val="ListParagraph"/>
        <w:numPr>
          <w:ilvl w:val="0"/>
          <w:numId w:val="2"/>
        </w:numPr>
        <w:spacing w:before="40" w:after="40"/>
      </w:pPr>
      <w:r>
        <w:rPr>
          <w:rFonts w:ascii="Arial" w:cs="Arial" w:eastAsia="Arial" w:hAnsi="Arial"/>
          <w:sz w:val="22"/>
          <w:szCs w:val="22"/>
        </w:rPr>
        <w:t xml:space="preserve">V1 = Comportamiento de pago  [peso 29%]</w:t>
      </w:r>
    </w:p>
    <w:p>
      <w:pPr>
        <w:pStyle w:val="ListParagraph"/>
        <w:numPr>
          <w:ilvl w:val="0"/>
          <w:numId w:val="2"/>
        </w:numPr>
        <w:spacing w:before="40" w:after="40"/>
      </w:pPr>
      <w:r>
        <w:rPr>
          <w:rFonts w:ascii="Arial" w:cs="Arial" w:eastAsia="Arial" w:hAnsi="Arial"/>
          <w:sz w:val="22"/>
          <w:szCs w:val="22"/>
        </w:rPr>
        <w:t xml:space="preserve">V2 = Volumen de facturación  [peso 24%]</w:t>
      </w:r>
    </w:p>
    <w:p>
      <w:pPr>
        <w:pStyle w:val="ListParagraph"/>
        <w:numPr>
          <w:ilvl w:val="0"/>
          <w:numId w:val="2"/>
        </w:numPr>
        <w:spacing w:before="40" w:after="40"/>
      </w:pPr>
      <w:r>
        <w:rPr>
          <w:rFonts w:ascii="Arial" w:cs="Arial" w:eastAsia="Arial" w:hAnsi="Arial"/>
          <w:sz w:val="22"/>
          <w:szCs w:val="22"/>
        </w:rPr>
        <w:t xml:space="preserve">V3 = Riesgo de concentración de stock  [peso 18%]</w:t>
      </w:r>
    </w:p>
    <w:p>
      <w:pPr>
        <w:pStyle w:val="ListParagraph"/>
        <w:numPr>
          <w:ilvl w:val="0"/>
          <w:numId w:val="2"/>
        </w:numPr>
        <w:spacing w:before="40" w:after="40"/>
      </w:pPr>
      <w:r>
        <w:rPr>
          <w:rFonts w:ascii="Arial" w:cs="Arial" w:eastAsia="Arial" w:hAnsi="Arial"/>
          <w:sz w:val="22"/>
          <w:szCs w:val="22"/>
        </w:rPr>
        <w:t xml:space="preserve">V4 = Frecuencia de contacto / actividad  [peso 12%]</w:t>
      </w:r>
    </w:p>
    <w:p>
      <w:pPr>
        <w:pStyle w:val="ListParagraph"/>
        <w:numPr>
          <w:ilvl w:val="0"/>
          <w:numId w:val="2"/>
        </w:numPr>
        <w:spacing w:before="40" w:after="40"/>
      </w:pPr>
      <w:r>
        <w:rPr>
          <w:rFonts w:ascii="Arial" w:cs="Arial" w:eastAsia="Arial" w:hAnsi="Arial"/>
          <w:sz w:val="22"/>
          <w:szCs w:val="22"/>
        </w:rPr>
        <w:t xml:space="preserve">V5 = Diversidad de familias de producto  [peso 12%]</w:t>
      </w:r>
    </w:p>
    <w:p>
      <w:pPr>
        <w:pStyle w:val="ListParagraph"/>
        <w:numPr>
          <w:ilvl w:val="0"/>
          <w:numId w:val="2"/>
        </w:numPr>
        <w:spacing w:before="40" w:after="40"/>
      </w:pPr>
      <w:r>
        <w:rPr>
          <w:rFonts w:ascii="Arial" w:cs="Arial" w:eastAsia="Arial" w:hAnsi="Arial"/>
          <w:sz w:val="22"/>
          <w:szCs w:val="22"/>
        </w:rPr>
        <w:t xml:space="preserve">V6 = Antigüedad y estabilidad  [peso 6%]</w:t>
      </w:r>
    </w:p>
    <w:p>
      <w:pPr>
        <w:spacing w:before="80" w:after="80"/>
      </w:pPr>
      <w:r>
        <w:t xml:space="preserve"/>
      </w:r>
    </w:p>
    <w:p>
      <w:pPr>
        <w:spacing w:before="200" w:after="80"/>
      </w:pPr>
      <w:r>
        <w:rPr>
          <w:rFonts w:ascii="Arial" w:cs="Arial" w:eastAsia="Arial" w:hAnsi="Arial"/>
          <w:b/>
          <w:bCs/>
          <w:color w:val="1E3A5F"/>
          <w:sz w:val="24"/>
          <w:szCs w:val="24"/>
        </w:rPr>
        <w:t xml:space="preserve">Cálculo de V1 — Comportamiento de pago (base porcentual):</w:t>
      </w:r>
    </w:p>
    <w:p>
      <w:pPr>
        <w:spacing w:before="60" w:after="100"/>
      </w:pPr>
      <w:r>
        <w:rPr>
          <w:rFonts w:ascii="Arial" w:cs="Arial" w:eastAsia="Arial" w:hAnsi="Arial"/>
          <w:sz w:val="22"/>
          <w:szCs w:val="22"/>
        </w:rPr>
        <w:t xml:space="preserve">La demora se expresa como porcentaje sobre el plazo pactado de cada cliente:</w:t>
      </w:r>
    </w:p>
    <w:p>
      <w:pPr>
        <w:spacing w:before="120" w:after="120"/>
        <w:jc w:val="center"/>
      </w:pPr>
      <w:r>
        <w:rPr>
          <w:rFonts w:ascii="Courier New" w:cs="Courier New" w:eastAsia="Courier New" w:hAnsi="Courier New"/>
          <w:b/>
          <w:bCs/>
          <w:color w:val="1E3A5F"/>
          <w:sz w:val="22"/>
          <w:szCs w:val="22"/>
        </w:rPr>
        <w:t xml:space="preserve">% demora = (días reales cobrado − días pactados) / días pactados × 100</w:t>
      </w:r>
    </w:p>
    <w:p>
      <w:pPr>
        <w:spacing w:before="60" w:after="100"/>
      </w:pPr>
      <w:r>
        <w:rPr>
          <w:rFonts w:ascii="Arial" w:cs="Arial" w:eastAsia="Arial" w:hAnsi="Arial"/>
          <w:sz w:val="22"/>
          <w:szCs w:val="22"/>
        </w:rPr>
        <w:t xml:space="preserve">Ejemplo: cliente a 30 días que paga a 45 → (45−30)/30 = 50% demora → puntaje 5.</w:t>
      </w:r>
    </w:p>
    <w:p>
      <w:pPr>
        <w:spacing w:before="60" w:after="100"/>
      </w:pPr>
      <w:r>
        <w:rPr>
          <w:rFonts w:ascii="Arial" w:cs="Arial" w:eastAsia="Arial" w:hAnsi="Arial"/>
          <w:sz w:val="22"/>
          <w:szCs w:val="22"/>
        </w:rPr>
        <w:t xml:space="preserve">Ejemplo: cliente a 60 días que paga a 90 → (90−60)/60 = 50% demora → puntaje 5 (idéntico).</w:t>
      </w:r>
    </w:p>
    <w:p>
      <w:pPr>
        <w:spacing w:before="80" w:after="80"/>
      </w:pPr>
      <w:r>
        <w:t xml:space="preserve"/>
      </w:r>
    </w:p>
    <w:p>
      <w:pPr>
        <w:spacing w:before="200" w:after="80"/>
      </w:pPr>
      <w:r>
        <w:rPr>
          <w:rFonts w:ascii="Arial" w:cs="Arial" w:eastAsia="Arial" w:hAnsi="Arial"/>
          <w:b/>
          <w:bCs/>
          <w:color w:val="1E3A5F"/>
          <w:sz w:val="24"/>
          <w:szCs w:val="24"/>
        </w:rPr>
        <w:t xml:space="preserve">Ejemplo de cálculo completo:</w:t>
      </w:r>
    </w:p>
    <w:p>
      <w:pPr>
        <w:pStyle w:val="ListParagraph"/>
        <w:numPr>
          <w:ilvl w:val="0"/>
          <w:numId w:val="2"/>
        </w:numPr>
        <w:spacing w:before="40" w:after="40"/>
      </w:pPr>
      <w:r>
        <w:rPr>
          <w:rFonts w:ascii="Arial" w:cs="Arial" w:eastAsia="Arial" w:hAnsi="Arial"/>
          <w:sz w:val="22"/>
          <w:szCs w:val="22"/>
        </w:rPr>
        <w:t xml:space="preserve">V1 = 5 (50% demora), V2 = 7 (top 25%), V3 = 7 (3 familias, algún producto exclusivo)</w:t>
      </w:r>
    </w:p>
    <w:p>
      <w:pPr>
        <w:pStyle w:val="ListParagraph"/>
        <w:numPr>
          <w:ilvl w:val="0"/>
          <w:numId w:val="2"/>
        </w:numPr>
        <w:spacing w:before="40" w:after="40"/>
      </w:pPr>
      <w:r>
        <w:rPr>
          <w:rFonts w:ascii="Arial" w:cs="Arial" w:eastAsia="Arial" w:hAnsi="Arial"/>
          <w:sz w:val="22"/>
          <w:szCs w:val="22"/>
        </w:rPr>
        <w:t xml:space="preserve">V4 = 7 (quincenal), V5 = 10 (3 familias), V6 = 10 (≥5 años)</w:t>
      </w:r>
    </w:p>
    <w:p>
      <w:pPr>
        <w:spacing w:before="80" w:after="80"/>
      </w:pPr>
      <w:r>
        <w:t xml:space="preserve"/>
      </w:r>
    </w:p>
    <w:p>
      <w:pPr>
        <w:spacing w:before="120" w:after="120"/>
        <w:jc w:val="center"/>
      </w:pPr>
      <w:r>
        <w:rPr>
          <w:rFonts w:ascii="Courier New" w:cs="Courier New" w:eastAsia="Courier New" w:hAnsi="Courier New"/>
          <w:b/>
          <w:bCs/>
          <w:color w:val="1E3A5F"/>
          <w:sz w:val="22"/>
          <w:szCs w:val="22"/>
        </w:rPr>
        <w:t xml:space="preserve">Score = (5×0.29)+(7×0.24)+(7×0.18)+(7×0.12)+(10×0.12)+(10×0.06) = 6.95</w:t>
      </w:r>
    </w:p>
    <w:p>
      <w:pPr>
        <w:spacing w:before="60" w:after="100"/>
      </w:pPr>
      <w:r>
        <w:rPr>
          <w:rFonts w:ascii="Arial" w:cs="Arial" w:eastAsia="Arial" w:hAnsi="Arial"/>
          <w:sz w:val="22"/>
          <w:szCs w:val="22"/>
        </w:rPr>
        <w:t xml:space="preserve">Resultado: Categoría B — Estable.</w:t>
      </w:r>
    </w:p>
    <w:p>
      <w:pPr>
        <w:spacing w:before="80" w:after="80"/>
      </w:pPr>
      <w:r>
        <w:t xml:space="preserve"/>
      </w:r>
    </w:p>
    <w:p>
      <w:pPr>
        <w:pStyle w:val="Heading1"/>
        <w:spacing w:before="320" w:after="160"/>
      </w:pPr>
      <w:r>
        <w:rPr>
          <w:rFonts w:ascii="Arial" w:cs="Arial" w:eastAsia="Arial" w:hAnsi="Arial"/>
          <w:b/>
          <w:bCs/>
          <w:color w:val="1E3A5F"/>
          <w:sz w:val="32"/>
          <w:szCs w:val="32"/>
        </w:rPr>
        <w:t xml:space="preserve">4. Tabla de categorías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500"/>
        <w:gridCol w:w="3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Puntaje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recomendada</w:t>
            </w:r>
          </w:p>
        </w:tc>
      </w:tr>
      <w:tr>
        <w:tc>
          <w:tcPr>
            <w:tcW w:type="dxa" w:w="1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9"/>
                <w:szCs w:val="19"/>
              </w:rPr>
              <w:t xml:space="preserve">8.0 – 10</w:t>
            </w:r>
          </w:p>
        </w:tc>
        <w:tc>
          <w:tcPr>
            <w:tcW w:type="dxa" w:w="1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9"/>
                <w:szCs w:val="19"/>
              </w:rPr>
              <w:t xml:space="preserve">A — Estratégico</w:t>
            </w:r>
          </w:p>
        </w:tc>
        <w:tc>
          <w:tcPr>
            <w:tcW w:type="dxa" w:w="3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9"/>
                <w:szCs w:val="19"/>
              </w:rPr>
              <w:t xml:space="preserve">Paga en término, volumen alto, consume todas las familias, activo.</w:t>
            </w:r>
          </w:p>
        </w:tc>
        <w:tc>
          <w:tcPr>
            <w:tcW w:type="dxa" w:w="3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9"/>
                <w:szCs w:val="19"/>
              </w:rPr>
              <w:t xml:space="preserve">Fidelizar. Prioridad en stock. Mejores condiciones comerciales.</w:t>
            </w:r>
          </w:p>
        </w:tc>
      </w:tr>
      <w:tr>
        <w:tc>
          <w:tcPr>
            <w:tcW w:type="dxa" w:w="1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19"/>
                <w:szCs w:val="19"/>
              </w:rPr>
              <w:t xml:space="preserve">6.0 – 7.9</w:t>
            </w:r>
          </w:p>
        </w:tc>
        <w:tc>
          <w:tcPr>
            <w:tcW w:type="dxa" w:w="15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19"/>
                <w:szCs w:val="19"/>
              </w:rPr>
              <w:t xml:space="preserve">B — Estable</w:t>
            </w:r>
          </w:p>
        </w:tc>
        <w:tc>
          <w:tcPr>
            <w:tcW w:type="dxa" w:w="35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19"/>
                <w:szCs w:val="19"/>
              </w:rPr>
              <w:t xml:space="preserve">Buen cliente con alguna debilidad menor.</w:t>
            </w:r>
          </w:p>
        </w:tc>
        <w:tc>
          <w:tcPr>
            <w:tcW w:type="dxa" w:w="3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19"/>
                <w:szCs w:val="19"/>
              </w:rPr>
              <w:t xml:space="preserve">Mantener. Revisar punto débil anualmente.</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9"/>
                <w:szCs w:val="19"/>
              </w:rPr>
              <w:t xml:space="preserve">4.0 – 5.9</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9"/>
                <w:szCs w:val="19"/>
              </w:rPr>
              <w:t xml:space="preserve">C — A trabajar</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9"/>
                <w:szCs w:val="19"/>
              </w:rPr>
              <w:t xml:space="preserve">Problemas identificados, aún rentable.</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9"/>
                <w:szCs w:val="19"/>
              </w:rPr>
              <w:t xml:space="preserve">Renegociar condiciones. Definir plan de mejora con plazo.</w:t>
            </w:r>
          </w:p>
        </w:tc>
      </w:tr>
      <w:tr>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2.0 – 3.9</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D — En riesgo</w:t>
            </w:r>
          </w:p>
        </w:tc>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Pagador tardío o muy concentrado en stock.</w:t>
            </w:r>
          </w:p>
        </w:tc>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Reducir exposición. Endurecer crédito. Evaluar salida.</w:t>
            </w:r>
          </w:p>
        </w:tc>
      </w:tr>
      <w:tr>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19"/>
                <w:szCs w:val="19"/>
              </w:rPr>
              <w:t xml:space="preserve">&lt; 2.0</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19"/>
                <w:szCs w:val="19"/>
              </w:rPr>
              <w:t xml:space="preserve">E — Problemático</w:t>
            </w:r>
          </w:p>
        </w:tc>
        <w:tc>
          <w:tcPr>
            <w:tcW w:type="dxa" w:w="3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19"/>
                <w:szCs w:val="19"/>
              </w:rPr>
              <w:t xml:space="preserve">Relación comercial insostenible o con pérdida neta potencial.</w:t>
            </w:r>
          </w:p>
        </w:tc>
        <w:tc>
          <w:tcPr>
            <w:tcW w:type="dxa" w:w="3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19"/>
                <w:szCs w:val="19"/>
              </w:rPr>
              <w:t xml:space="preserve">Considerar cierre de la relación comercial.</w:t>
            </w:r>
          </w:p>
        </w:tc>
      </w:tr>
    </w:tbl>
    <w:p>
      <w:pPr>
        <w:spacing w:before="80" w:after="80"/>
      </w:pPr>
      <w:r>
        <w:t xml:space="preserve"/>
      </w:r>
    </w:p>
    <w:p>
      <w:pPr>
        <w:pStyle w:val="Heading1"/>
        <w:spacing w:before="320" w:after="160"/>
      </w:pPr>
      <w:r>
        <w:rPr>
          <w:rFonts w:ascii="Arial" w:cs="Arial" w:eastAsia="Arial" w:hAnsi="Arial"/>
          <w:b/>
          <w:bCs/>
          <w:color w:val="1E3A5F"/>
          <w:sz w:val="32"/>
          <w:szCs w:val="32"/>
        </w:rPr>
        <w:t xml:space="preserve">5. Consideraciones de implementación en el CRM</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5.1 Datos requeridos por variable</w:t>
      </w:r>
    </w:p>
    <w:p>
      <w:pPr>
        <w:pStyle w:val="ListParagraph"/>
        <w:numPr>
          <w:ilvl w:val="0"/>
          <w:numId w:val="2"/>
        </w:numPr>
        <w:spacing w:before="40" w:after="40"/>
      </w:pPr>
      <w:r>
        <w:rPr>
          <w:rFonts w:ascii="Arial" w:cs="Arial" w:eastAsia="Arial" w:hAnsi="Arial"/>
          <w:sz w:val="22"/>
          <w:szCs w:val="22"/>
        </w:rPr>
        <w:t xml:space="preserve">V1 (Pago): Fecha de vencimiento pactada vs. fecha de cobro efectivo. Calcular promedio del % de demora en los últimos 12 meses. El plazo pactado debe estar registrado por cliente.</w:t>
      </w:r>
    </w:p>
    <w:p>
      <w:pPr>
        <w:pStyle w:val="ListParagraph"/>
        <w:numPr>
          <w:ilvl w:val="0"/>
          <w:numId w:val="2"/>
        </w:numPr>
        <w:spacing w:before="40" w:after="40"/>
      </w:pPr>
      <w:r>
        <w:rPr>
          <w:rFonts w:ascii="Arial" w:cs="Arial" w:eastAsia="Arial" w:hAnsi="Arial"/>
          <w:sz w:val="22"/>
          <w:szCs w:val="22"/>
        </w:rPr>
        <w:t xml:space="preserve">V2 (Volumen): Suma de facturación anual por cliente. Recalcular el ranking percentil al cerrar cada ejercicio o mensualmente.</w:t>
      </w:r>
    </w:p>
    <w:p>
      <w:pPr>
        <w:pStyle w:val="ListParagraph"/>
        <w:numPr>
          <w:ilvl w:val="0"/>
          <w:numId w:val="2"/>
        </w:numPr>
        <w:spacing w:before="40" w:after="40"/>
      </w:pPr>
      <w:r>
        <w:rPr>
          <w:rFonts w:ascii="Arial" w:cs="Arial" w:eastAsia="Arial" w:hAnsi="Arial"/>
          <w:sz w:val="22"/>
          <w:szCs w:val="22"/>
        </w:rPr>
        <w:t xml:space="preserve">V3 (Concentración): Familias consumidas en el año + flag si algún producto no tiene otro cliente activo que lo demande.</w:t>
      </w:r>
    </w:p>
    <w:p>
      <w:pPr>
        <w:pStyle w:val="ListParagraph"/>
        <w:numPr>
          <w:ilvl w:val="0"/>
          <w:numId w:val="2"/>
        </w:numPr>
        <w:spacing w:before="40" w:after="40"/>
      </w:pPr>
      <w:r>
        <w:rPr>
          <w:rFonts w:ascii="Arial" w:cs="Arial" w:eastAsia="Arial" w:hAnsi="Arial"/>
          <w:sz w:val="22"/>
          <w:szCs w:val="22"/>
        </w:rPr>
        <w:t xml:space="preserve">V4 (Frecuencia): Días desde el último pedido registrado. Clasificar automáticamente según umbrales.</w:t>
      </w:r>
    </w:p>
    <w:p>
      <w:pPr>
        <w:pStyle w:val="ListParagraph"/>
        <w:numPr>
          <w:ilvl w:val="0"/>
          <w:numId w:val="2"/>
        </w:numPr>
        <w:spacing w:before="40" w:after="40"/>
      </w:pPr>
      <w:r>
        <w:rPr>
          <w:rFonts w:ascii="Arial" w:cs="Arial" w:eastAsia="Arial" w:hAnsi="Arial"/>
          <w:sz w:val="22"/>
          <w:szCs w:val="22"/>
        </w:rPr>
        <w:t xml:space="preserve">V5 (Diversidad): Conteo de las 3 familias (Lubricantes, Limpiadores, Accesorios) con al menos un pedido en los últimos 12 meses.</w:t>
      </w:r>
    </w:p>
    <w:p>
      <w:pPr>
        <w:pStyle w:val="ListParagraph"/>
        <w:numPr>
          <w:ilvl w:val="0"/>
          <w:numId w:val="2"/>
        </w:numPr>
        <w:spacing w:before="40" w:after="40"/>
      </w:pPr>
      <w:r>
        <w:rPr>
          <w:rFonts w:ascii="Arial" w:cs="Arial" w:eastAsia="Arial" w:hAnsi="Arial"/>
          <w:sz w:val="22"/>
          <w:szCs w:val="22"/>
        </w:rPr>
        <w:t xml:space="preserve">V6 (Antigüedad): Fecha de primer pedido registrado en el sistema.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Frecuencia de actualización</w:t>
      </w:r>
    </w:p>
    <w:p>
      <w:pPr>
        <w:pStyle w:val="ListParagraph"/>
        <w:numPr>
          <w:ilvl w:val="0"/>
          <w:numId w:val="2"/>
        </w:numPr>
        <w:spacing w:before="40" w:after="40"/>
      </w:pPr>
      <w:r>
        <w:rPr>
          <w:rFonts w:ascii="Arial" w:cs="Arial" w:eastAsia="Arial" w:hAnsi="Arial"/>
          <w:sz w:val="22"/>
          <w:szCs w:val="22"/>
        </w:rPr>
        <w:t xml:space="preserve">V1, V4: Recalcular automáticamente al registrar cada pago o pedido nuevo.</w:t>
      </w:r>
    </w:p>
    <w:p>
      <w:pPr>
        <w:pStyle w:val="ListParagraph"/>
        <w:numPr>
          <w:ilvl w:val="0"/>
          <w:numId w:val="2"/>
        </w:numPr>
        <w:spacing w:before="40" w:after="40"/>
      </w:pPr>
      <w:r>
        <w:rPr>
          <w:rFonts w:ascii="Arial" w:cs="Arial" w:eastAsia="Arial" w:hAnsi="Arial"/>
          <w:sz w:val="22"/>
          <w:szCs w:val="22"/>
        </w:rPr>
        <w:t xml:space="preserve">V2, V3, V5: Recalcular mensual o trimestralmente, o al cierre de ejercicio.</w:t>
      </w:r>
    </w:p>
    <w:p>
      <w:pPr>
        <w:pStyle w:val="ListParagraph"/>
        <w:numPr>
          <w:ilvl w:val="0"/>
          <w:numId w:val="2"/>
        </w:numPr>
        <w:spacing w:before="40" w:after="40"/>
      </w:pPr>
      <w:r>
        <w:rPr>
          <w:rFonts w:ascii="Arial" w:cs="Arial" w:eastAsia="Arial" w:hAnsi="Arial"/>
          <w:sz w:val="22"/>
          <w:szCs w:val="22"/>
        </w:rPr>
        <w:t xml:space="preserve">V6: Solo cambia al incorporar un nuevo cliente; es estático una vez calculado.</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Alertas sugeridas</w:t>
      </w:r>
    </w:p>
    <w:p>
      <w:pPr>
        <w:pStyle w:val="ListParagraph"/>
        <w:numPr>
          <w:ilvl w:val="0"/>
          <w:numId w:val="2"/>
        </w:numPr>
        <w:spacing w:before="40" w:after="40"/>
      </w:pPr>
      <w:r>
        <w:rPr>
          <w:rFonts w:ascii="Arial" w:cs="Arial" w:eastAsia="Arial" w:hAnsi="Arial"/>
          <w:sz w:val="22"/>
          <w:szCs w:val="22"/>
        </w:rPr>
        <w:t xml:space="preserve">Score &lt; 4.0 durante dos períodos consecutivos → alerta roja automática al responsable comercial.</w:t>
      </w:r>
    </w:p>
    <w:p>
      <w:pPr>
        <w:pStyle w:val="ListParagraph"/>
        <w:numPr>
          <w:ilvl w:val="0"/>
          <w:numId w:val="2"/>
        </w:numPr>
        <w:spacing w:before="40" w:after="40"/>
      </w:pPr>
      <w:r>
        <w:rPr>
          <w:rFonts w:ascii="Arial" w:cs="Arial" w:eastAsia="Arial" w:hAnsi="Arial"/>
          <w:sz w:val="22"/>
          <w:szCs w:val="22"/>
        </w:rPr>
        <w:t xml:space="preserve">V1 = 1 (demora &gt;100% del plazo) → bloqueo de nuevo crédito hasta regularización.</w:t>
      </w:r>
    </w:p>
    <w:p>
      <w:pPr>
        <w:pStyle w:val="ListParagraph"/>
        <w:numPr>
          <w:ilvl w:val="0"/>
          <w:numId w:val="2"/>
        </w:numPr>
        <w:spacing w:before="40" w:after="40"/>
      </w:pPr>
      <w:r>
        <w:rPr>
          <w:rFonts w:ascii="Arial" w:cs="Arial" w:eastAsia="Arial" w:hAnsi="Arial"/>
          <w:sz w:val="22"/>
          <w:szCs w:val="22"/>
        </w:rPr>
        <w:t xml:space="preserve">V3 = 1 (producto exclusivo + 1 sola familia) → alerta de riesgo de stock al área de logística.</w:t>
      </w:r>
    </w:p>
    <w:p>
      <w:pPr>
        <w:pStyle w:val="ListParagraph"/>
        <w:numPr>
          <w:ilvl w:val="0"/>
          <w:numId w:val="2"/>
        </w:numPr>
        <w:spacing w:before="40" w:after="40"/>
      </w:pPr>
      <w:r>
        <w:rPr>
          <w:rFonts w:ascii="Arial" w:cs="Arial" w:eastAsia="Arial" w:hAnsi="Arial"/>
          <w:sz w:val="22"/>
          <w:szCs w:val="22"/>
        </w:rPr>
        <w:t xml:space="preserve">V4 = 1 (sin pedidos &gt;90 días) → alerta de churn al equipo comercial.</w:t>
      </w:r>
    </w:p>
    <w:p>
      <w:pPr>
        <w:spacing w:before="80" w:after="80"/>
      </w:pPr>
      <w:r>
        <w:t xml:space="preserve"/>
      </w:r>
    </w:p>
    <w:p>
      <w:pPr>
        <w:pStyle w:val="Heading1"/>
        <w:spacing w:before="320" w:after="160"/>
      </w:pPr>
      <w:r>
        <w:rPr>
          <w:rFonts w:ascii="Arial" w:cs="Arial" w:eastAsia="Arial" w:hAnsi="Arial"/>
          <w:b/>
          <w:bCs/>
          <w:color w:val="1E3A5F"/>
          <w:sz w:val="32"/>
          <w:szCs w:val="32"/>
        </w:rPr>
        <w:t xml:space="preserve">6. Revisión y calibración del modelo</w:t>
      </w:r>
    </w:p>
    <w:p>
      <w:pPr>
        <w:spacing w:before="60" w:after="100"/>
      </w:pPr>
      <w:r>
        <w:rPr>
          <w:rFonts w:ascii="Arial" w:cs="Arial" w:eastAsia="Arial" w:hAnsi="Arial"/>
          <w:sz w:val="22"/>
          <w:szCs w:val="22"/>
        </w:rPr>
        <w:t xml:space="preserve">Se recomienda revisar las ponderaciones cada 12 meses o ante cambios estructurales del negocio (incorporación de nuevas familias de producto, cambios en la política de crédito, etc.). Para calibrar, comparar los puntajes calculados contra la percepción del equipo comercial sobre los 10 mejores y 10 peores clientes. Si hay discrepancias sistemáticas, ajustar los pesos de las variables más discordantes.</w:t>
      </w:r>
    </w:p>
    <w:p>
      <w:pPr>
        <w:spacing w:before="80" w:after="80"/>
      </w:pPr>
      <w:r>
        <w:t xml:space="preserve"/>
      </w:r>
    </w:p>
    <w:p>
      <w:pPr>
        <w:pBdr>
          <w:top w:val="single" w:color="CCCCCC" w:sz="4" w:space="1"/>
        </w:pBdr>
        <w:spacing w:before="200" w:after="0"/>
      </w:pPr>
      <w:r>
        <w:rPr>
          <w:rFonts w:ascii="Arial" w:cs="Arial" w:eastAsia="Arial" w:hAnsi="Arial"/>
          <w:i/>
          <w:iCs/>
          <w:color w:val="888888"/>
          <w:sz w:val="18"/>
          <w:szCs w:val="18"/>
        </w:rPr>
        <w:t xml:space="preserve">Este documento es de uso interno. Los pesos y umbrales pueden ajustarse según la evolución del negocio.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2026-03-06T13:35:06.565Z</dcterms:created>
  <dcterms:modified xsi:type="dcterms:W3CDTF">2026-03-06T13:35:06.567Z</dcterms:modified>
</cp:coreProperties>
</file>

<file path=docProps/custom.xml><?xml version="1.0" encoding="utf-8"?>
<Properties xmlns="http://schemas.openxmlformats.org/officeDocument/2006/custom-properties" xmlns:vt="http://schemas.openxmlformats.org/officeDocument/2006/docPropsVTypes"/>
</file>