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Diretrizes para o Mergulho Científico</w:t>
      </w:r>
    </w:p>
    <w:p>
      <w:pPr>
        <w:pStyle w:val="Subttulo"/>
      </w:pPr>
      <w:r>
        <w:t xml:space="preserve">Diretrizes do Mergulho Científico no âmbito PMB-SC</w:t>
      </w:r>
    </w:p>
    <w:p>
      <w:pPr>
        <w:pStyle w:val="Author"/>
      </w:pPr>
      <w:r>
        <w:t xml:space="preserve">Supervisor de Pesquisa SC</w:t>
      </w:r>
    </w:p>
    <w:p>
      <w:pPr>
        <w:pStyle w:val="Data"/>
      </w:pPr>
      <w:r>
        <w:t xml:space="preserve">2026-05-01</w:t>
      </w:r>
    </w:p>
    <w:p>
      <w:pPr>
        <w:pStyle w:val="AbstractTitle"/>
      </w:pPr>
      <w:r>
        <w:t xml:space="preserve">About</w:t>
      </w:r>
    </w:p>
    <w:p>
      <w:pPr>
        <w:pStyle w:val="Abstract"/>
      </w:pPr>
      <w:r>
        <w:t xml:space="preserve">Diretrizes para a prática e logística de operações de mergulho científico em projetos de pesquisa socio-ambientais</w:t>
      </w:r>
    </w:p>
    <w:bookmarkStart w:id="21" w:name="diretriz-geral"/>
    <w:p>
      <w:pPr>
        <w:pStyle w:val="Ttulo1"/>
      </w:pPr>
      <w:r>
        <w:t xml:space="preserve">DIRETRIZ GERAL</w:t>
      </w:r>
    </w:p>
    <w:p>
      <w:pPr>
        <w:numPr>
          <w:ilvl w:val="0"/>
          <w:numId w:val="1001"/>
        </w:numPr>
      </w:pPr>
      <w:r>
        <w:t xml:space="preserve">A segurança e a salvaguarda da vida deve sempre estar acima dos objetivos das operações.</w:t>
      </w:r>
    </w:p>
    <w:p>
      <w:pPr>
        <w:numPr>
          <w:ilvl w:val="0"/>
          <w:numId w:val="1001"/>
        </w:numPr>
      </w:pPr>
      <w:r>
        <w:t xml:space="preserve">As atividades de mergulho científico só devem ser realizadas por um mínimo de dois mergulhadores devidamente credenciados.</w:t>
      </w:r>
    </w:p>
    <w:p>
      <w:pPr>
        <w:numPr>
          <w:ilvl w:val="0"/>
          <w:numId w:val="1001"/>
        </w:numPr>
      </w:pPr>
      <w:r>
        <w:t xml:space="preserve">A equipe de trabalho deve se organizar em sistema de dupla, eventualmente trio.</w:t>
      </w:r>
    </w:p>
    <w:p>
      <w:pPr>
        <w:numPr>
          <w:ilvl w:val="0"/>
          <w:numId w:val="1001"/>
        </w:numPr>
      </w:pPr>
      <w:r>
        <w:t xml:space="preserve">A equipe de trabalho deve permanecer coesa durante o mergulho, mantendo-se sempre o contato visual com os demais mergulhadores.</w:t>
      </w:r>
    </w:p>
    <w:p>
      <w:pPr>
        <w:numPr>
          <w:ilvl w:val="0"/>
          <w:numId w:val="1001"/>
        </w:numPr>
      </w:pPr>
      <w:r>
        <w:t xml:space="preserve">Pelos menos um dos membros das duplas deve ter consigo, obrigatoriamente, os seguintes equipamentos:</w:t>
      </w:r>
    </w:p>
    <w:p>
      <w:pPr>
        <w:numPr>
          <w:ilvl w:val="1"/>
          <w:numId w:val="1002"/>
        </w:numPr>
      </w:pPr>
      <w:r>
        <w:t xml:space="preserve">Deco Maker (ou</w:t>
      </w:r>
      <w:r>
        <w:t xml:space="preserve"> </w:t>
      </w:r>
      <w:r>
        <w:t xml:space="preserve">“Salsição”</w:t>
      </w:r>
      <w:r>
        <w:t xml:space="preserve">);</w:t>
      </w:r>
    </w:p>
    <w:p>
      <w:pPr>
        <w:numPr>
          <w:ilvl w:val="1"/>
          <w:numId w:val="1002"/>
        </w:numPr>
      </w:pPr>
      <w:r>
        <w:t xml:space="preserve">Carretilha 30m;</w:t>
      </w:r>
    </w:p>
    <w:p>
      <w:pPr>
        <w:numPr>
          <w:ilvl w:val="1"/>
          <w:numId w:val="1002"/>
        </w:numPr>
      </w:pPr>
      <w:r>
        <w:t xml:space="preserve">Dive Alert (ou apito de superfície);</w:t>
      </w:r>
    </w:p>
    <w:p>
      <w:pPr>
        <w:numPr>
          <w:ilvl w:val="1"/>
          <w:numId w:val="1002"/>
        </w:numPr>
      </w:pPr>
      <w:r>
        <w:t xml:space="preserve">Computador de mergulho.</w:t>
      </w:r>
    </w:p>
    <w:p>
      <w:pPr>
        <w:numPr>
          <w:ilvl w:val="1"/>
          <w:numId w:val="1002"/>
        </w:numPr>
      </w:pPr>
      <w:r>
        <w:t xml:space="preserve">Faca</w:t>
      </w:r>
    </w:p>
    <w:p>
      <w:pPr>
        <w:numPr>
          <w:ilvl w:val="0"/>
          <w:numId w:val="1000"/>
        </w:numPr>
      </w:pPr>
      <w:r>
        <w:t xml:space="preserve">Parágrafo único: É recomendavel o uso de bússola.</w:t>
      </w:r>
    </w:p>
    <w:p>
      <w:pPr>
        <w:numPr>
          <w:ilvl w:val="0"/>
          <w:numId w:val="1001"/>
        </w:numPr>
      </w:pPr>
      <w:r>
        <w:t xml:space="preserve">Em caso de perda do contato visual, busque</w:t>
      </w:r>
    </w:p>
    <w:p>
      <w:pPr>
        <w:numPr>
          <w:ilvl w:val="0"/>
          <w:numId w:val="1001"/>
        </w:numPr>
      </w:pPr>
      <w:r>
        <w:t xml:space="preserve">com os demais mergulhadores, deve-se soar o aviso de emergência do mergulho (batidas intermitentes no cilindro com auxílio de algum material duro)</w:t>
      </w:r>
    </w:p>
    <w:p>
      <w:pPr>
        <w:numPr>
          <w:ilvl w:val="0"/>
          <w:numId w:val="1001"/>
        </w:numPr>
      </w:pPr>
      <w:r>
        <w:t xml:space="preserve">deve ocorrer exclusivamente com mergulho deve ser realizado por ao menos dois (02) mergulhadores devidamente certificados, conforme a regra norteadora da atividade.</w:t>
      </w:r>
    </w:p>
    <w:p>
      <w:pPr>
        <w:pStyle w:val="FirstParagraph"/>
      </w:pPr>
      <w:r>
        <w:t xml:space="preserve">Briefing</w:t>
      </w:r>
    </w:p>
    <w:bookmarkStart w:id="20" w:name="cargos"/>
    <w:p>
      <w:pPr>
        <w:pStyle w:val="Ttulo2"/>
      </w:pPr>
      <w:r>
        <w:t xml:space="preserve">Cargos</w:t>
      </w:r>
    </w:p>
    <w:p>
      <w:pPr>
        <w:pStyle w:val="FirstParagraph"/>
      </w:pPr>
      <w:r>
        <w:t xml:space="preserve">Atribuições dos Mergulhadores</w:t>
      </w:r>
    </w:p>
    <w:p>
      <w:pPr>
        <w:pStyle w:val="Corpodetexto"/>
      </w:pPr>
      <w:r>
        <w:t xml:space="preserve">Regras gerais de condutas nas operações de mergulho cientifico</w:t>
      </w:r>
    </w:p>
    <w:p>
      <w:pPr>
        <w:pStyle w:val="Corpodetexto"/>
      </w:pPr>
      <w:r>
        <w:t xml:space="preserve">Rol de Mergulhadores</w:t>
      </w:r>
    </w:p>
    <w:bookmarkEnd w:id="20"/>
    <w:bookmarkEnd w:id="21"/>
    <w:bookmarkStart w:id="23" w:name="anexos"/>
    <w:p>
      <w:pPr>
        <w:pStyle w:val="Ttulo1"/>
      </w:pPr>
      <w:r>
        <w:t xml:space="preserve">ANEXOS</w:t>
      </w:r>
    </w:p>
    <w:bookmarkStart w:id="22" w:name="check-list"/>
    <w:p>
      <w:pPr>
        <w:pStyle w:val="Ttulo2"/>
      </w:pPr>
      <w:r>
        <w:t xml:space="preserve">Check list</w:t>
      </w:r>
    </w:p>
    <w:bookmarkEnd w:id="22"/>
    <w:bookmarkEnd w:id="23"/>
    <w:sectPr w:rsidR="00F31698">
      <w:footerReference r:id="rId9" w:type="default"/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1016" w14:textId="17BBCE09" w:rsidR="00E73758" w:rsidRPr="00E73758" w:rsidRDefault="00E73758">
    <w:pPr>
      <w:pStyle w:val="Rodap"/>
      <w:rPr>
        <w:lang w:val="pt-BR"/>
      </w:rPr>
    </w:pPr>
    <w:r w:rsidRPr="00E73758">
      <w:rPr>
        <w:lang w:val="pt-BR"/>
      </w:rPr>
      <w:t>Copyright © 2026. Todos os direitos reservados.</w:t>
    </w:r>
  </w:p>
  <w:p w14:paraId="77EA9EE1" w14:textId="77777777" w:rsidR="00E73758" w:rsidRPr="00E73758" w:rsidRDefault="00E73758">
    <w:pPr>
      <w:pStyle w:val="Rodap"/>
      <w:rPr>
        <w:lang w:val="pt-BR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66EF93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611">
    <w:nsid w:val="00A99611"/>
    <w:multiLevelType w:val="multilevel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left"/>
      <w:pPr>
        <w:ind w:left="2160" w:hanging="360"/>
      </w:pPr>
    </w:lvl>
    <w:lvl w:ilvl="3">
      <w:start w:val="1"/>
      <w:numFmt w:val="upperRoman"/>
      <w:lvlText w:val="%4."/>
      <w:lvlJc w:val="left"/>
      <w:pPr>
        <w:ind w:left="2880" w:hanging="360"/>
      </w:pPr>
    </w:lvl>
    <w:lvl w:ilvl="4">
      <w:start w:val="1"/>
      <w:numFmt w:val="upperRoman"/>
      <w:lvlText w:val="%5."/>
      <w:lvlJc w:val="left"/>
      <w:pPr>
        <w:ind w:left="3600" w:hanging="360"/>
      </w:pPr>
    </w:lvl>
    <w:lvl w:ilvl="5">
      <w:start w:val="1"/>
      <w:numFmt w:val="upperRoman"/>
      <w:lvlText w:val="%6."/>
      <w:lvlJc w:val="left"/>
      <w:pPr>
        <w:ind w:left="4320" w:hanging="360"/>
      </w:pPr>
    </w:lvl>
    <w:lvl w:ilvl="6">
      <w:start w:val="1"/>
      <w:numFmt w:val="upperRoman"/>
      <w:lvlText w:val="%7."/>
      <w:lvlJc w:val="left"/>
      <w:pPr>
        <w:ind w:left="5040" w:hanging="360"/>
      </w:pPr>
    </w:lvl>
    <w:lvl w:ilvl="7">
      <w:start w:val="1"/>
      <w:numFmt w:val="upperRoman"/>
      <w:lvlText w:val="%8."/>
      <w:lvlJc w:val="left"/>
      <w:pPr>
        <w:ind w:left="5760" w:hanging="360"/>
      </w:pPr>
    </w:lvl>
    <w:lvl w:ilvl="8">
      <w:start w:val="1"/>
      <w:numFmt w:val="upperRoman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1202135635" w:numId="1">
    <w:abstractNumId w:val="0"/>
  </w:num>
  <w:num w:numId="1000">
    <w:abstractNumId w:val="990"/>
  </w:num>
  <w:num w:numId="1001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31698"/>
    <w:rsid w:val="000F3163"/>
    <w:rsid w:val="00D55C5D"/>
    <w:rsid w:val="00E73758"/>
    <w:rsid w:val="00F3169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styleId="Data" w:type="paragraph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styleId="Cabealho" w:type="paragraph">
    <w:name w:val="header"/>
    <w:basedOn w:val="Normal"/>
    <w:link w:val="CabealhoChar"/>
    <w:rsid w:val="00E73758"/>
    <w:pPr>
      <w:tabs>
        <w:tab w:pos="4252" w:val="center"/>
        <w:tab w:pos="8504" w:val="right"/>
      </w:tabs>
      <w:spacing w:after="0"/>
    </w:pPr>
  </w:style>
  <w:style w:customStyle="1" w:styleId="CabealhoChar" w:type="character">
    <w:name w:val="Cabeçalho Char"/>
    <w:basedOn w:val="Fontepargpadro"/>
    <w:link w:val="Cabealho"/>
    <w:rsid w:val="00E73758"/>
  </w:style>
  <w:style w:styleId="Rodap" w:type="paragraph">
    <w:name w:val="footer"/>
    <w:basedOn w:val="Normal"/>
    <w:link w:val="RodapChar"/>
    <w:uiPriority w:val="99"/>
    <w:rsid w:val="00E73758"/>
    <w:pPr>
      <w:tabs>
        <w:tab w:pos="4252" w:val="center"/>
        <w:tab w:pos="8504" w:val="right"/>
      </w:tabs>
      <w:spacing w:after="0"/>
    </w:pPr>
  </w:style>
  <w:style w:customStyle="1" w:styleId="RodapChar" w:type="character">
    <w:name w:val="Rodapé Char"/>
    <w:basedOn w:val="Fontepargpadro"/>
    <w:link w:val="Rodap"/>
    <w:uiPriority w:val="99"/>
    <w:rsid w:val="00E7375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65</Words>
  <Characters>357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Diretrizes para o Mergulho Científico</dc:title>
  <dc:creator>Supervisor de Pesquisa SC</dc:creator>
  <dc:description>Status: Documento em construção</dc:description>
  <cp:keywords/>
  <dcterms:created xsi:type="dcterms:W3CDTF">2026-07-20T19:12:41Z</dcterms:created>
  <dcterms:modified xsi:type="dcterms:W3CDTF">2026-07-20T19:12:41Z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Diretrizes para a prática e logística de operações de mergulho científico em projetos de pesquisa socio-ambientais</vt:lpwstr>
  </property>
  <property fmtid="{D5CDD505-2E9C-101B-9397-08002B2CF9AE}" pid="3" name="abstract-title">
    <vt:lpwstr>About</vt:lpwstr>
  </property>
  <property fmtid="{D5CDD505-2E9C-101B-9397-08002B2CF9AE}" pid="4" name="affiliations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pyright">
    <vt:lpwstr/>
  </property>
  <property fmtid="{D5CDD505-2E9C-101B-9397-08002B2CF9AE}" pid="10" name="date">
    <vt:lpwstr>2026-05-01</vt:lpwstr>
  </property>
  <property fmtid="{D5CDD505-2E9C-101B-9397-08002B2CF9AE}" pid="11" name="editor">
    <vt:lpwstr>visual</vt:lpwstr>
  </property>
  <property fmtid="{D5CDD505-2E9C-101B-9397-08002B2CF9AE}" pid="12" name="execute">
    <vt:lpwstr/>
  </property>
  <property fmtid="{D5CDD505-2E9C-101B-9397-08002B2CF9AE}" pid="13" name="fontfamily">
    <vt:lpwstr>baskervald</vt:lpwstr>
  </property>
  <property fmtid="{D5CDD505-2E9C-101B-9397-08002B2CF9AE}" pid="14" name="fontsize">
    <vt:lpwstr>12pt</vt:lpwstr>
  </property>
  <property fmtid="{D5CDD505-2E9C-101B-9397-08002B2CF9AE}" pid="15" name="geometry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se">
    <vt:lpwstr/>
  </property>
  <property fmtid="{D5CDD505-2E9C-101B-9397-08002B2CF9AE}" pid="21" name="page-layout">
    <vt:lpwstr>article</vt:lpwstr>
  </property>
  <property fmtid="{D5CDD505-2E9C-101B-9397-08002B2CF9AE}" pid="22" name="respect-user-color-scheme">
    <vt:lpwstr>True</vt:lpwstr>
  </property>
  <property fmtid="{D5CDD505-2E9C-101B-9397-08002B2CF9AE}" pid="23" name="subtitle">
    <vt:lpwstr>Diretrizes do Mergulho Científico no âmbito PMB-SC</vt:lpwstr>
  </property>
  <property fmtid="{D5CDD505-2E9C-101B-9397-08002B2CF9AE}" pid="24" name="toc-title">
    <vt:lpwstr>Table of contents</vt:lpwstr>
  </property>
</Properties>
</file>