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A5298"/>
          <w:sz w:val="18"/>
          <w:szCs w:val="18"/>
        </w:rPr>
        <w:t xml:space="preserve">SISTEMA PCP · AÇOS VITAL</w:t>
      </w:r>
    </w:p>
    <w:p>
      <w:pPr>
        <w:pStyle w:val="Title"/>
      </w:pPr>
      <w:r>
        <w:t xml:space="preserve">Atualizações do Sistema — 17/08 a 28/09/2026</w:t>
      </w:r>
    </w:p>
    <w:p>
      <w:pPr>
        <w:spacing w:after="240"/>
      </w:pPr>
      <w:r>
        <w:rPr>
          <w:i/>
          <w:iCs/>
          <w:color w:val="5A6A80"/>
        </w:rPr>
        <w:t xml:space="preserve">O que entrou no sistema desde a última documentação (17/08/2026). Uso interno.</w:t>
      </w:r>
    </w:p>
    <w:p>
      <w:pPr>
        <w:pStyle w:val="Heading1"/>
      </w:pPr>
      <w:r>
        <w:t xml:space="preserve">Resumo</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F4F6F9" w:color="auto" w:val="clear"/>
            <w:tcMar>
              <w:top w:type="dxa" w:w="120"/>
              <w:left w:type="dxa" w:w="120"/>
              <w:bottom w:type="dxa" w:w="120"/>
              <w:right w:type="dxa" w:w="120"/>
            </w:tcMar>
          </w:tcPr>
          <w:p>
            <w:r>
              <w:rPr>
                <w:b/>
                <w:bCs/>
                <w:color w:val="2A5298"/>
                <w:sz w:val="32"/>
                <w:szCs w:val="32"/>
              </w:rPr>
              <w:t xml:space="preserve">281</w:t>
            </w:r>
          </w:p>
          <w:p>
            <w:r>
              <w:rPr>
                <w:color w:val="5A6A80"/>
                <w:sz w:val="17"/>
                <w:szCs w:val="17"/>
              </w:rPr>
              <w:t xml:space="preserve">commits publicados no período</w:t>
            </w:r>
          </w:p>
        </w:tc>
        <w:tc>
          <w:tcPr>
            <w:tcW w:type="dxa" w:w="2256"/>
            <w:shd w:fill="F4F6F9" w:color="auto" w:val="clear"/>
            <w:tcMar>
              <w:top w:type="dxa" w:w="120"/>
              <w:left w:type="dxa" w:w="120"/>
              <w:bottom w:type="dxa" w:w="120"/>
              <w:right w:type="dxa" w:w="120"/>
            </w:tcMar>
          </w:tcPr>
          <w:p>
            <w:r>
              <w:rPr>
                <w:b/>
                <w:bCs/>
                <w:color w:val="2A5298"/>
                <w:sz w:val="32"/>
                <w:szCs w:val="32"/>
              </w:rPr>
              <w:t xml:space="preserve">M40 → M57</w:t>
            </w:r>
          </w:p>
          <w:p>
            <w:r>
              <w:rPr>
                <w:color w:val="5A6A80"/>
                <w:sz w:val="17"/>
                <w:szCs w:val="17"/>
              </w:rPr>
              <w:t xml:space="preserve">migrações de banco (SCHEMA_VERSION 59)</w:t>
            </w:r>
          </w:p>
        </w:tc>
        <w:tc>
          <w:tcPr>
            <w:tcW w:type="dxa" w:w="2256"/>
            <w:shd w:fill="F4F6F9" w:color="auto" w:val="clear"/>
            <w:tcMar>
              <w:top w:type="dxa" w:w="120"/>
              <w:left w:type="dxa" w:w="120"/>
              <w:bottom w:type="dxa" w:w="120"/>
              <w:right w:type="dxa" w:w="120"/>
            </w:tcMar>
          </w:tcPr>
          <w:p>
            <w:r>
              <w:rPr>
                <w:b/>
                <w:bCs/>
                <w:color w:val="2A5298"/>
                <w:sz w:val="32"/>
                <w:szCs w:val="32"/>
              </w:rPr>
              <w:t xml:space="preserve">36</w:t>
            </w:r>
          </w:p>
          <w:p>
            <w:r>
              <w:rPr>
                <w:color w:val="5A6A80"/>
                <w:sz w:val="17"/>
                <w:szCs w:val="17"/>
              </w:rPr>
              <w:t xml:space="preserve">tabelas no banco (eram 20 em 21/08)</w:t>
            </w:r>
          </w:p>
        </w:tc>
        <w:tc>
          <w:tcPr>
            <w:tcW w:type="dxa" w:w="2256"/>
            <w:shd w:fill="F4F6F9" w:color="auto" w:val="clear"/>
            <w:tcMar>
              <w:top w:type="dxa" w:w="120"/>
              <w:left w:type="dxa" w:w="120"/>
              <w:bottom w:type="dxa" w:w="120"/>
              <w:right w:type="dxa" w:w="120"/>
            </w:tcMar>
          </w:tcPr>
          <w:p>
            <w:r>
              <w:rPr>
                <w:b/>
                <w:bCs/>
                <w:color w:val="2A5298"/>
                <w:sz w:val="32"/>
                <w:szCs w:val="32"/>
              </w:rPr>
              <w:t xml:space="preserve">8</w:t>
            </w:r>
          </w:p>
          <w:p>
            <w:r>
              <w:rPr>
                <w:color w:val="5A6A80"/>
                <w:sz w:val="17"/>
                <w:szCs w:val="17"/>
              </w:rPr>
              <w:t xml:space="preserve">flags de acesso por usuário</w:t>
            </w:r>
          </w:p>
        </w:tc>
      </w:tr>
    </w:tbl>
    <w:p>
      <w:r>
        <w:t xml:space="preserve"/>
      </w:r>
    </w:p>
    <w:p>
      <w:pPr>
        <w:pStyle w:val="Heading1"/>
      </w:pPr>
      <w:r>
        <w:t xml:space="preserve">1 · Flanges — chão de fábrica</w:t>
      </w:r>
    </w:p>
    <w:p>
      <w:pPr>
        <w:pStyle w:val="Heading2"/>
      </w:pPr>
      <w:r>
        <w:t xml:space="preserve">Máquina e operador (Usinagem / Furação)</w:t>
      </w:r>
    </w:p>
    <w:p>
      <w:pPr>
        <w:spacing w:after="80"/>
      </w:pPr>
      <w:r>
        <w:rPr>
          <w:i/>
          <w:iCs/>
          <w:color w:val="5A6A80"/>
          <w:sz w:val="18"/>
          <w:szCs w:val="18"/>
        </w:rPr>
        <w:t xml:space="preserve">19/08 → 04/09</w:t>
      </w:r>
    </w:p>
    <w:p>
      <w:pPr>
        <w:pStyle w:val="ListParagraph"/>
        <w:numPr>
          <w:ilvl w:val="0"/>
          <w:numId w:val="2"/>
        </w:numPr>
        <w:spacing w:after="60"/>
      </w:pPr>
      <w:r>
        <w:t xml:space="preserve">Ao iniciar ou retomar a produção, o operador precisa escolher a máquina e o operador. Isso vale em todos os pontos de "iniciar".</w:t>
      </w:r>
    </w:p>
    <w:p>
      <w:pPr>
        <w:pStyle w:val="ListParagraph"/>
        <w:numPr>
          <w:ilvl w:val="0"/>
          <w:numId w:val="2"/>
        </w:numPr>
        <w:spacing w:after="60"/>
      </w:pPr>
      <w:r>
        <w:t xml:space="preserve">Motivo de pausa e de retomada por máquina, incluindo o motivo "Troca de peça", que retoma na mesma máquina.</w:t>
      </w:r>
    </w:p>
    <w:p>
      <w:pPr>
        <w:pStyle w:val="ListParagraph"/>
        <w:numPr>
          <w:ilvl w:val="0"/>
          <w:numId w:val="2"/>
        </w:numPr>
        <w:spacing w:after="60"/>
      </w:pPr>
      <w:r>
        <w:t xml:space="preserve">A máquina e o operador aparecem na parcial, na fila do setor, no item e no pedido.</w:t>
      </w:r>
    </w:p>
    <w:p>
      <w:pPr>
        <w:pStyle w:val="Heading2"/>
      </w:pPr>
      <w:r>
        <w:t xml:space="preserve">Tela do setor</w:t>
      </w:r>
    </w:p>
    <w:p>
      <w:pPr>
        <w:spacing w:after="80"/>
      </w:pPr>
      <w:r>
        <w:rPr>
          <w:i/>
          <w:iCs/>
          <w:color w:val="5A6A80"/>
          <w:sz w:val="18"/>
          <w:szCs w:val="18"/>
        </w:rPr>
        <w:t xml:space="preserve">20/08 → 15/09</w:t>
      </w:r>
    </w:p>
    <w:p>
      <w:pPr>
        <w:pStyle w:val="ListParagraph"/>
        <w:numPr>
          <w:ilvl w:val="0"/>
          <w:numId w:val="2"/>
        </w:numPr>
        <w:spacing w:after="60"/>
      </w:pPr>
      <w:r>
        <w:t xml:space="preserve">Chips de relance (prioridade, prazo, situação), com pulso ou pisca vermelho quando o pedido está atrasado.</w:t>
      </w:r>
    </w:p>
    <w:p>
      <w:pPr>
        <w:pStyle w:val="ListParagraph"/>
        <w:numPr>
          <w:ilvl w:val="0"/>
          <w:numId w:val="2"/>
        </w:numPr>
        <w:spacing w:after="60"/>
      </w:pPr>
      <w:r>
        <w:t xml:space="preserve">Programação do PCP: número de sequência no card e ordenação por prazo, depois prioridade e, no desempate, tamanho. Ordem manual com os botões ▲/▼ (funcionam no tablet).</w:t>
      </w:r>
    </w:p>
    <w:p>
      <w:pPr>
        <w:pStyle w:val="ListParagraph"/>
        <w:numPr>
          <w:ilvl w:val="0"/>
          <w:numId w:val="2"/>
        </w:numPr>
        <w:spacing w:after="60"/>
      </w:pPr>
      <w:r>
        <w:t xml:space="preserve">Filtro de busca (PV, código, descrição) em todos os setores.</w:t>
      </w:r>
    </w:p>
    <w:p>
      <w:pPr>
        <w:pStyle w:val="ListParagraph"/>
        <w:numPr>
          <w:ilvl w:val="0"/>
          <w:numId w:val="2"/>
        </w:numPr>
        <w:spacing w:after="60"/>
      </w:pPr>
      <w:r>
        <w:t xml:space="preserve">Botão "Enviar Tudo" com seletor de setor. Nos setores de corte, escolha Flanges/Caldeiraria em todos os fluxos, com trava no servidor: do corte só se vai para Carregamento, Caldeiraria ou outro corte.</w:t>
      </w:r>
    </w:p>
    <w:p>
      <w:pPr>
        <w:pStyle w:val="ListParagraph"/>
        <w:numPr>
          <w:ilvl w:val="0"/>
          <w:numId w:val="2"/>
        </w:numPr>
        <w:spacing w:after="60"/>
      </w:pPr>
      <w:r>
        <w:t xml:space="preserve">Devolução com quantidade parcial. Os seletores de setor são separados em Flanges × Caldeiraria.</w:t>
      </w:r>
    </w:p>
    <w:p>
      <w:pPr>
        <w:pStyle w:val="ListParagraph"/>
        <w:numPr>
          <w:ilvl w:val="0"/>
          <w:numId w:val="2"/>
        </w:numPr>
        <w:spacing w:after="60"/>
      </w:pPr>
      <w:r>
        <w:t xml:space="preserve">Etiqueta DYMO 98×27 mm no modal Imprimir (situação, PV, OP, quantidade, pallet e roteiro).</w:t>
      </w:r>
    </w:p>
    <w:p>
      <w:pPr>
        <w:pStyle w:val="ListParagraph"/>
        <w:numPr>
          <w:ilvl w:val="0"/>
          <w:numId w:val="2"/>
        </w:numPr>
        <w:spacing w:after="60"/>
      </w:pPr>
      <w:r>
        <w:t xml:space="preserve">OP, PV e desenho abrem num visualizador interno com botão Voltar. No tablet a OP é renderizada com PDF.js.</w:t>
      </w:r>
    </w:p>
    <w:p>
      <w:pPr>
        <w:pStyle w:val="ListParagraph"/>
        <w:numPr>
          <w:ilvl w:val="0"/>
          <w:numId w:val="2"/>
        </w:numPr>
        <w:spacing w:after="60"/>
      </w:pPr>
      <w:r>
        <w:t xml:space="preserve">Botão Conferência: imprime só os pedidos do departamento.</w:t>
      </w:r>
    </w:p>
    <w:p>
      <w:pPr>
        <w:pStyle w:val="ListParagraph"/>
        <w:numPr>
          <w:ilvl w:val="0"/>
          <w:numId w:val="2"/>
        </w:numPr>
        <w:spacing w:after="60"/>
      </w:pPr>
      <w:r>
        <w:t xml:space="preserve">Higiene de quiosque no tablet e no telão para evitar travamento depois de horas ligado, e resposta ao toque melhorada.</w:t>
      </w:r>
    </w:p>
    <w:p>
      <w:pPr>
        <w:pStyle w:val="Heading2"/>
      </w:pPr>
      <w:r>
        <w:t xml:space="preserve">Setor Sinete</w:t>
      </w:r>
    </w:p>
    <w:p>
      <w:pPr>
        <w:spacing w:after="80"/>
      </w:pPr>
      <w:r>
        <w:rPr>
          <w:i/>
          <w:iCs/>
          <w:color w:val="5A6A80"/>
          <w:sz w:val="18"/>
          <w:szCs w:val="18"/>
        </w:rPr>
        <w:t xml:space="preserve">21/08 → 10/09</w:t>
      </w:r>
    </w:p>
    <w:p>
      <w:pPr>
        <w:pStyle w:val="ListParagraph"/>
        <w:numPr>
          <w:ilvl w:val="0"/>
          <w:numId w:val="2"/>
        </w:numPr>
        <w:spacing w:after="60"/>
      </w:pPr>
      <w:r>
        <w:t xml:space="preserve">Novo setor no fluxo do Flange, com campo de sinete por material, botão "Sem sinete", devolução à Qualidade e destino Acabamento.</w:t>
      </w:r>
    </w:p>
    <w:p>
      <w:pPr>
        <w:pStyle w:val="ListParagraph"/>
        <w:numPr>
          <w:ilvl w:val="0"/>
          <w:numId w:val="2"/>
        </w:numPr>
        <w:spacing w:after="60"/>
      </w:pPr>
      <w:r>
        <w:t xml:space="preserve">O selo do sinete aparece ao lado do código da peça no card.</w:t>
      </w:r>
    </w:p>
    <w:p>
      <w:pPr>
        <w:pStyle w:val="Heading2"/>
      </w:pPr>
      <w:r>
        <w:t xml:space="preserve">Previsão de conclusão e prazos</w:t>
      </w:r>
    </w:p>
    <w:p>
      <w:pPr>
        <w:spacing w:after="80"/>
      </w:pPr>
      <w:r>
        <w:rPr>
          <w:i/>
          <w:iCs/>
          <w:color w:val="5A6A80"/>
          <w:sz w:val="18"/>
          <w:szCs w:val="18"/>
        </w:rPr>
        <w:t xml:space="preserve">28/08 → 10/09</w:t>
      </w:r>
    </w:p>
    <w:p>
      <w:pPr>
        <w:pStyle w:val="ListParagraph"/>
        <w:numPr>
          <w:ilvl w:val="0"/>
          <w:numId w:val="2"/>
        </w:numPr>
        <w:spacing w:after="60"/>
      </w:pPr>
      <w:r>
        <w:t xml:space="preserve">Previsão de conclusão por peça e por pedido (flag </w:t>
      </w:r>
      <w:r>
        <w:rPr>
          <w:rFonts w:ascii="Consolas" w:cs="Consolas" w:eastAsia="Consolas" w:hAnsi="Consolas"/>
          <w:sz w:val="19"/>
          <w:szCs w:val="19"/>
        </w:rPr>
        <w:t xml:space="preserve">pode_definir_previsao</w:t>
      </w:r>
      <w:r>
        <w:t xml:space="preserve">: Gilmar, PCP e apontador), definida direto no card.</w:t>
      </w:r>
    </w:p>
    <w:p>
      <w:pPr>
        <w:pStyle w:val="ListParagraph"/>
        <w:numPr>
          <w:ilvl w:val="0"/>
          <w:numId w:val="2"/>
        </w:numPr>
        <w:spacing w:after="60"/>
      </w:pPr>
      <w:r>
        <w:t xml:space="preserve">O atraso passou a ser medido pela previsão de conclusão, e não pelo faturamento. "Prazo de Entrega" foi renomeado para "Previsão de faturamento (Omie)", e essa data não pode ser anterior à emissão.</w:t>
      </w:r>
    </w:p>
    <w:p>
      <w:pPr>
        <w:pStyle w:val="ListParagraph"/>
        <w:numPr>
          <w:ilvl w:val="0"/>
          <w:numId w:val="2"/>
        </w:numPr>
        <w:spacing w:after="60"/>
      </w:pPr>
      <w:r>
        <w:t xml:space="preserve">Prazo de finalização por setor (item e pedido), refletido no Dashboard, TV, Análise e Kanban.</w:t>
      </w:r>
    </w:p>
    <w:p>
      <w:pPr>
        <w:pStyle w:val="ListParagraph"/>
        <w:numPr>
          <w:ilvl w:val="0"/>
          <w:numId w:val="2"/>
        </w:numPr>
        <w:spacing w:after="60"/>
      </w:pPr>
      <w:r>
        <w:t xml:space="preserve">Card "Projeção de Conclusão" (executado × tempo) no pedido.</w:t>
      </w:r>
    </w:p>
    <w:p>
      <w:pPr>
        <w:pStyle w:val="Heading2"/>
      </w:pPr>
      <w:r>
        <w:t xml:space="preserve">Fim do fluxo: Finalizados, Romaneios, Não Localizados</w:t>
      </w:r>
    </w:p>
    <w:p>
      <w:pPr>
        <w:spacing w:after="80"/>
      </w:pPr>
      <w:r>
        <w:rPr>
          <w:i/>
          <w:iCs/>
          <w:color w:val="5A6A80"/>
          <w:sz w:val="18"/>
          <w:szCs w:val="18"/>
        </w:rPr>
        <w:t xml:space="preserve">08/09 → 11/09</w:t>
      </w:r>
    </w:p>
    <w:p>
      <w:pPr>
        <w:pStyle w:val="ListParagraph"/>
        <w:numPr>
          <w:ilvl w:val="0"/>
          <w:numId w:val="2"/>
        </w:numPr>
        <w:spacing w:after="60"/>
      </w:pPr>
      <w:r>
        <w:t xml:space="preserve">A Quarentena virou </w:t>
      </w:r>
      <w:r>
        <w:rPr>
          <w:b/>
          <w:bCs/>
        </w:rPr>
        <w:t xml:space="preserve">Pedidos Finalizados</w:t>
      </w:r>
      <w:r>
        <w:t xml:space="preserve">, e a aba Logística do Flange foi aposentada. A aba "Entregues" virou "Pedidos Finalizados", com o tempo de produção.</w:t>
      </w:r>
    </w:p>
    <w:p>
      <w:pPr>
        <w:pStyle w:val="ListParagraph"/>
        <w:numPr>
          <w:ilvl w:val="0"/>
          <w:numId w:val="2"/>
        </w:numPr>
        <w:spacing w:after="60"/>
      </w:pPr>
      <w:r>
        <w:t xml:space="preserve">Novos setores Conferência/Carregamento e Recebimento (HRM) depois do corte.</w:t>
      </w:r>
    </w:p>
    <w:p>
      <w:pPr>
        <w:pStyle w:val="ListParagraph"/>
        <w:numPr>
          <w:ilvl w:val="0"/>
          <w:numId w:val="2"/>
        </w:numPr>
        <w:spacing w:after="60"/>
      </w:pPr>
      <w:r>
        <w:t xml:space="preserve">Romaneios de carga: criar, conferir, fechar e imprimir.</w:t>
      </w:r>
    </w:p>
    <w:p>
      <w:pPr>
        <w:pStyle w:val="ListParagraph"/>
        <w:numPr>
          <w:ilvl w:val="0"/>
          <w:numId w:val="2"/>
        </w:numPr>
        <w:spacing w:after="60"/>
      </w:pPr>
      <w:r>
        <w:t xml:space="preserve">Aba </w:t>
      </w:r>
      <w:r>
        <w:rPr>
          <w:b/>
          <w:bCs/>
        </w:rPr>
        <w:t xml:space="preserve">Não Localizados</w:t>
      </w:r>
      <w:r>
        <w:t xml:space="preserve"> para reencaminhar pedidos perdidos (flag </w:t>
      </w:r>
      <w:r>
        <w:rPr>
          <w:rFonts w:ascii="Consolas" w:cs="Consolas" w:eastAsia="Consolas" w:hAnsi="Consolas"/>
          <w:sz w:val="19"/>
          <w:szCs w:val="19"/>
        </w:rPr>
        <w:t xml:space="preserve">pode_ver_nao_localizados</w:t>
      </w:r>
      <w:r>
        <w:t xml:space="preserve">, ex.: Ezequiel).</w:t>
      </w:r>
    </w:p>
    <w:p>
      <w:pPr>
        <w:pStyle w:val="ListParagraph"/>
        <w:numPr>
          <w:ilvl w:val="0"/>
          <w:numId w:val="2"/>
        </w:numPr>
        <w:spacing w:after="60"/>
      </w:pPr>
      <w:r>
        <w:t xml:space="preserve">Botão "Voltar pra Logística", que desfaz a entrega (19/08).</w:t>
      </w:r>
    </w:p>
    <w:p>
      <w:pPr>
        <w:pStyle w:val="Heading1"/>
      </w:pPr>
      <w:r>
        <w:t xml:space="preserve">2 · Planejamento da Usinagem (Reginaldo)</w:t>
      </w:r>
    </w:p>
    <w:p>
      <w:pPr>
        <w:pStyle w:val="Heading2"/>
      </w:pPr>
      <w:r>
        <w:t xml:space="preserve">Tela /planejamento</w:t>
      </w:r>
    </w:p>
    <w:p>
      <w:pPr>
        <w:spacing w:after="80"/>
      </w:pPr>
      <w:r>
        <w:rPr>
          <w:i/>
          <w:iCs/>
          <w:color w:val="5A6A80"/>
          <w:sz w:val="18"/>
          <w:szCs w:val="18"/>
        </w:rPr>
        <w:t xml:space="preserve">14/09 → 15/09 · flag </w:t>
      </w:r>
      <w:r>
        <w:rPr>
          <w:rFonts w:ascii="Consolas" w:cs="Consolas" w:eastAsia="Consolas" w:hAnsi="Consolas"/>
          <w:i/>
          <w:iCs/>
          <w:color w:val="5A6A80"/>
          <w:sz w:val="18"/>
          <w:szCs w:val="18"/>
        </w:rPr>
        <w:t xml:space="preserve">acesso_planejamento</w:t>
      </w:r>
      <w:r>
        <w:rPr>
          <w:i/>
          <w:iCs/>
          <w:color w:val="5A6A80"/>
          <w:sz w:val="18"/>
          <w:szCs w:val="18"/>
        </w:rPr>
        <w:t xml:space="preserve"> · M43–M46</w:t>
      </w:r>
    </w:p>
    <w:p>
      <w:pPr>
        <w:pStyle w:val="ListParagraph"/>
        <w:numPr>
          <w:ilvl w:val="0"/>
          <w:numId w:val="2"/>
        </w:numPr>
        <w:spacing w:after="60"/>
      </w:pPr>
      <w:r>
        <w:t xml:space="preserve">Duas abas: a Fila (separada em "na usinagem" e "chegando", em sequência pela data de conclusão) e o Painel de Máquinas, agrupado por categoria.</w:t>
      </w:r>
    </w:p>
    <w:p>
      <w:pPr>
        <w:pStyle w:val="ListParagraph"/>
        <w:numPr>
          <w:ilvl w:val="0"/>
          <w:numId w:val="2"/>
        </w:numPr>
        <w:spacing w:after="60"/>
      </w:pPr>
      <w:r>
        <w:t xml:space="preserve">Avisos para a produção (caixa de mensagens com mensagens prontas). O aviso aparece em amarelo no card do pedido.</w:t>
      </w:r>
    </w:p>
    <w:p>
      <w:pPr>
        <w:pStyle w:val="ListParagraph"/>
        <w:numPr>
          <w:ilvl w:val="0"/>
          <w:numId w:val="2"/>
        </w:numPr>
        <w:spacing w:after="60"/>
      </w:pPr>
      <w:r>
        <w:t xml:space="preserve">Encaminhar produção: comando fixo, que pode ou não ficar fixado no topo da fila do operador, e pode ser desfeito ou editado.</w:t>
      </w:r>
    </w:p>
    <w:p>
      <w:pPr>
        <w:pStyle w:val="ListParagraph"/>
        <w:numPr>
          <w:ilvl w:val="0"/>
          <w:numId w:val="2"/>
        </w:numPr>
        <w:spacing w:after="60"/>
      </w:pPr>
      <w:r>
        <w:t xml:space="preserve">Data de conclusão definida pelo Reginaldo. O prazo automático é o lançamento + 7 dias corridos, e a data zera quando a usinagem do pedido termina.</w:t>
      </w:r>
    </w:p>
    <w:p>
      <w:pPr>
        <w:pStyle w:val="ListParagraph"/>
        <w:numPr>
          <w:ilvl w:val="0"/>
          <w:numId w:val="2"/>
        </w:numPr>
        <w:spacing w:after="60"/>
      </w:pPr>
      <w:r>
        <w:t xml:space="preserve">Atualização em tempo real (WebSocket), com a OP abrindo direto no visualizador.</w:t>
      </w:r>
    </w:p>
    <w:p>
      <w:pPr>
        <w:pStyle w:val="Heading1"/>
      </w:pPr>
      <w:r>
        <w:t xml:space="preserve">3 · Caldeiraria (HRM)</w:t>
      </w:r>
    </w:p>
    <w:p>
      <w:pPr>
        <w:pStyle w:val="Heading2"/>
      </w:pPr>
      <w:r>
        <w:t xml:space="preserve">Workspace AÇOS VITAL / HRM e tela Anexar OP</w:t>
      </w:r>
    </w:p>
    <w:p>
      <w:pPr>
        <w:spacing w:after="80"/>
      </w:pPr>
      <w:r>
        <w:rPr>
          <w:i/>
          <w:iCs/>
          <w:color w:val="5A6A80"/>
          <w:sz w:val="18"/>
          <w:szCs w:val="18"/>
        </w:rPr>
        <w:t xml:space="preserve">18/08 → 25/09 · flag </w:t>
      </w:r>
      <w:r>
        <w:rPr>
          <w:rFonts w:ascii="Consolas" w:cs="Consolas" w:eastAsia="Consolas" w:hAnsi="Consolas"/>
          <w:i/>
          <w:iCs/>
          <w:color w:val="5A6A80"/>
          <w:sz w:val="18"/>
          <w:szCs w:val="18"/>
        </w:rPr>
        <w:t xml:space="preserve">acesso_hrm</w:t>
      </w:r>
    </w:p>
    <w:p>
      <w:pPr>
        <w:pStyle w:val="ListParagraph"/>
        <w:numPr>
          <w:ilvl w:val="0"/>
          <w:numId w:val="2"/>
        </w:numPr>
        <w:spacing w:after="60"/>
      </w:pPr>
      <w:r>
        <w:t xml:space="preserve">Seletor de workspace no menu. No HRM o grupo "Geral" do Flange fica escondido e os setores da Caldeiraria ganharam ícones.</w:t>
      </w:r>
    </w:p>
    <w:p>
      <w:pPr>
        <w:pStyle w:val="ListParagraph"/>
        <w:numPr>
          <w:ilvl w:val="0"/>
          <w:numId w:val="2"/>
        </w:numPr>
        <w:spacing w:after="60"/>
      </w:pPr>
      <w:r>
        <w:t xml:space="preserve">Leitor automático do PDF da OP (formato antigo e formato Omie), que extrai produto, componentes, materiais, roteiro, cliente, quantidade e datas.</w:t>
      </w:r>
    </w:p>
    <w:p>
      <w:pPr>
        <w:pStyle w:val="ListParagraph"/>
        <w:numPr>
          <w:ilvl w:val="0"/>
          <w:numId w:val="2"/>
        </w:numPr>
        <w:spacing w:after="60"/>
      </w:pPr>
      <w:r>
        <w:t xml:space="preserve">Para OP com a fonte embaralhada, há decodificação por fonte e por forma do glifo, e OCR local (Tesseract, grátis) como último recurso.</w:t>
      </w:r>
    </w:p>
    <w:p>
      <w:pPr>
        <w:pStyle w:val="ListParagraph"/>
        <w:numPr>
          <w:ilvl w:val="0"/>
          <w:numId w:val="2"/>
        </w:numPr>
        <w:spacing w:after="60"/>
      </w:pPr>
      <w:r>
        <w:t xml:space="preserve">A partir de 22/09 a tela só anexa a OP (com checkbox por componente e quantidade de estruturas/projetos). O roteiro passou a ser definido na Conferência. Quando há mais de uma estrutura, cada uma vira um projeto separado.</w:t>
      </w:r>
    </w:p>
    <w:p>
      <w:pPr>
        <w:pStyle w:val="ListParagraph"/>
        <w:numPr>
          <w:ilvl w:val="0"/>
          <w:numId w:val="2"/>
        </w:numPr>
        <w:spacing w:after="60"/>
      </w:pPr>
      <w:r>
        <w:t xml:space="preserve">O produto e os componentes lidos ficam salvos no banco, então a Conferência não depende do Backblaze.</w:t>
      </w:r>
    </w:p>
    <w:p>
      <w:pPr>
        <w:pStyle w:val="Heading2"/>
      </w:pPr>
      <w:r>
        <w:t xml:space="preserve">Conferência HRM (Alan)</w:t>
      </w:r>
    </w:p>
    <w:p>
      <w:pPr>
        <w:spacing w:after="80"/>
      </w:pPr>
      <w:r>
        <w:rPr>
          <w:i/>
          <w:iCs/>
          <w:color w:val="5A6A80"/>
          <w:sz w:val="18"/>
          <w:szCs w:val="18"/>
        </w:rPr>
        <w:t xml:space="preserve">25/08 → 25/09 · flag </w:t>
      </w:r>
      <w:r>
        <w:rPr>
          <w:rFonts w:ascii="Consolas" w:cs="Consolas" w:eastAsia="Consolas" w:hAnsi="Consolas"/>
          <w:i/>
          <w:iCs/>
          <w:color w:val="5A6A80"/>
          <w:sz w:val="18"/>
          <w:szCs w:val="18"/>
        </w:rPr>
        <w:t xml:space="preserve">acesso_conferencia_hrm</w:t>
      </w:r>
      <w:r>
        <w:rPr>
          <w:i/>
          <w:iCs/>
          <w:color w:val="5A6A80"/>
          <w:sz w:val="18"/>
          <w:szCs w:val="18"/>
        </w:rPr>
        <w:t xml:space="preserve"> · M45, M47</w:t>
      </w:r>
    </w:p>
    <w:p>
      <w:pPr>
        <w:pStyle w:val="ListParagraph"/>
        <w:numPr>
          <w:ilvl w:val="0"/>
          <w:numId w:val="2"/>
        </w:numPr>
        <w:spacing w:after="60"/>
      </w:pPr>
      <w:r>
        <w:t xml:space="preserve">Monta o roteiro por componente (produto = pai, componentes = filhos). Tem filtro de setores (digitar, colar uma lista, copiar o roteiro) e unidade em Peça/Quilo/Metro.</w:t>
      </w:r>
    </w:p>
    <w:p>
      <w:pPr>
        <w:pStyle w:val="ListParagraph"/>
        <w:numPr>
          <w:ilvl w:val="0"/>
          <w:numId w:val="2"/>
        </w:numPr>
        <w:spacing w:after="60"/>
      </w:pPr>
      <w:r>
        <w:t xml:space="preserve">Desenho no painel à esquerda, que aceita anexos de qualquer tamanho.</w:t>
      </w:r>
    </w:p>
    <w:p>
      <w:pPr>
        <w:pStyle w:val="ListParagraph"/>
        <w:numPr>
          <w:ilvl w:val="0"/>
          <w:numId w:val="2"/>
        </w:numPr>
        <w:spacing w:after="60"/>
      </w:pPr>
      <w:r>
        <w:t xml:space="preserve">No lançamento, escolhe o(s) setor(es) de destino, com o item inteiro ou dividido.</w:t>
      </w:r>
    </w:p>
    <w:p>
      <w:pPr>
        <w:pStyle w:val="ListParagraph"/>
        <w:numPr>
          <w:ilvl w:val="0"/>
          <w:numId w:val="2"/>
        </w:numPr>
        <w:spacing w:after="60"/>
      </w:pPr>
      <w:r>
        <w:t xml:space="preserve">Nº de rastreabilidade por material (M48, padrão óleo &amp; gás).</w:t>
      </w:r>
    </w:p>
    <w:p>
      <w:pPr>
        <w:pStyle w:val="ListParagraph"/>
        <w:numPr>
          <w:ilvl w:val="0"/>
          <w:numId w:val="2"/>
        </w:numPr>
        <w:spacing w:after="60"/>
      </w:pPr>
      <w:r>
        <w:t xml:space="preserve">Permite excluir a OP ou devolvê-la inteira para a Conferência, com os setores já lançados.</w:t>
      </w:r>
    </w:p>
    <w:p>
      <w:pPr>
        <w:pStyle w:val="Heading2"/>
      </w:pPr>
      <w:r>
        <w:t xml:space="preserve">Produção da Caldeiraria</w:t>
      </w:r>
    </w:p>
    <w:p>
      <w:pPr>
        <w:spacing w:after="80"/>
      </w:pPr>
      <w:r>
        <w:rPr>
          <w:i/>
          <w:iCs/>
          <w:color w:val="5A6A80"/>
          <w:sz w:val="18"/>
          <w:szCs w:val="18"/>
        </w:rPr>
        <w:t xml:space="preserve">28/08 → 25/09 · M46, M54, M55</w:t>
      </w:r>
    </w:p>
    <w:p>
      <w:pPr>
        <w:pStyle w:val="ListParagraph"/>
        <w:numPr>
          <w:ilvl w:val="0"/>
          <w:numId w:val="2"/>
        </w:numPr>
        <w:spacing w:after="60"/>
      </w:pPr>
      <w:r>
        <w:t xml:space="preserve">Fábrica única com o processo real e "por onde passa" escolhido na abertura.</w:t>
      </w:r>
    </w:p>
    <w:p>
      <w:pPr>
        <w:pStyle w:val="ListParagraph"/>
        <w:numPr>
          <w:ilvl w:val="0"/>
          <w:numId w:val="2"/>
        </w:numPr>
        <w:spacing w:after="60"/>
      </w:pPr>
      <w:r>
        <w:t xml:space="preserve">Setores novos: Corte Caldeiraria, Usinagem Caldeiraria, montagens, inspeções, testes e Compras HRM (separado do Compras do Flange).</w:t>
      </w:r>
    </w:p>
    <w:p>
      <w:pPr>
        <w:pStyle w:val="ListParagraph"/>
        <w:numPr>
          <w:ilvl w:val="0"/>
          <w:numId w:val="2"/>
        </w:numPr>
        <w:spacing w:after="60"/>
      </w:pPr>
      <w:r>
        <w:t xml:space="preserve">Painel "onde está cada OP" (trilha do roteiro) e Kanban no menu HRM.</w:t>
      </w:r>
    </w:p>
    <w:p>
      <w:pPr>
        <w:pStyle w:val="ListParagraph"/>
        <w:numPr>
          <w:ilvl w:val="0"/>
          <w:numId w:val="2"/>
        </w:numPr>
        <w:spacing w:after="60"/>
      </w:pPr>
      <w:r>
        <w:t xml:space="preserve">Inspeções / Hold Points (Fit-Up): o apontador solicita e a Qualidade emite o laudo.</w:t>
      </w:r>
    </w:p>
    <w:p>
      <w:pPr>
        <w:pStyle w:val="ListParagraph"/>
        <w:numPr>
          <w:ilvl w:val="0"/>
          <w:numId w:val="2"/>
        </w:numPr>
        <w:spacing w:after="60"/>
      </w:pPr>
      <w:r>
        <w:t xml:space="preserve">Datas contratuais e rastreio do cliente no pedido.</w:t>
      </w:r>
    </w:p>
    <w:p>
      <w:pPr>
        <w:pStyle w:val="ListParagraph"/>
        <w:numPr>
          <w:ilvl w:val="0"/>
          <w:numId w:val="2"/>
        </w:numPr>
        <w:spacing w:after="60"/>
      </w:pPr>
      <w:r>
        <w:t xml:space="preserve">Regra de fluxo: não se envia sem iniciar. Setor de passagem (pass-through) só encaminha.</w:t>
      </w:r>
    </w:p>
    <w:p>
      <w:pPr>
        <w:pStyle w:val="Heading2"/>
      </w:pPr>
      <w:r>
        <w:t xml:space="preserve">PCP Caldeiraria do Val (/cald-plano)</w:t>
      </w:r>
    </w:p>
    <w:p>
      <w:pPr>
        <w:spacing w:after="80"/>
      </w:pPr>
      <w:r>
        <w:rPr>
          <w:i/>
          <w:iCs/>
          <w:color w:val="5A6A80"/>
          <w:sz w:val="18"/>
          <w:szCs w:val="18"/>
        </w:rPr>
        <w:t xml:space="preserve">24/09 → 25/09 · M49–M56 · planeja: elivaldo.santos (Val), Gabriel, Pedro</w:t>
      </w:r>
    </w:p>
    <w:p>
      <w:pPr>
        <w:pStyle w:val="ListParagraph"/>
        <w:numPr>
          <w:ilvl w:val="0"/>
          <w:numId w:val="2"/>
        </w:numPr>
        <w:spacing w:after="60"/>
      </w:pPr>
      <w:r>
        <w:t xml:space="preserve">Substitui a planilha do Val. Tem importação de planilha sem duplicar, valor unitário e total (formato brasileiro), empresa do pedido (Aços Vital/Mogi, Uberaba, HRM) e edição em massa de empresa e prioridade.</w:t>
      </w:r>
    </w:p>
    <w:p>
      <w:pPr>
        <w:pStyle w:val="ListParagraph"/>
        <w:numPr>
          <w:ilvl w:val="0"/>
          <w:numId w:val="2"/>
        </w:numPr>
        <w:spacing w:after="60"/>
      </w:pPr>
      <w:r>
        <w:t xml:space="preserve">Painel por áreas com a coluna "Início — A planejar" e o botão Lançar pedido. No card fica só o botão </w:t>
      </w:r>
      <w:r>
        <w:rPr>
          <w:b/>
          <w:bCs/>
        </w:rPr>
        <w:t xml:space="preserve">Mover</w:t>
      </w:r>
      <w:r>
        <w:t xml:space="preserve">, que abre a lista de áreas e setores com filtro.</w:t>
      </w:r>
    </w:p>
    <w:p>
      <w:pPr>
        <w:pStyle w:val="ListParagraph"/>
        <w:numPr>
          <w:ilvl w:val="0"/>
          <w:numId w:val="2"/>
        </w:numPr>
        <w:spacing w:after="60"/>
      </w:pPr>
      <w:r>
        <w:t xml:space="preserve">Caixa de pendências com prazo vencido e cobranças (M50), além dos dias por área em cada pedido.</w:t>
      </w:r>
    </w:p>
    <w:p>
      <w:pPr>
        <w:pStyle w:val="ListParagraph"/>
        <w:numPr>
          <w:ilvl w:val="0"/>
          <w:numId w:val="2"/>
        </w:numPr>
        <w:spacing w:after="60"/>
      </w:pPr>
      <w:r>
        <w:t xml:space="preserve">Recados do PCP para qualquer pessoa da área. Sub-setor HRM dentro da área geral (M56).</w:t>
      </w:r>
    </w:p>
    <w:p>
      <w:pPr>
        <w:pStyle w:val="ListParagraph"/>
        <w:numPr>
          <w:ilvl w:val="0"/>
          <w:numId w:val="2"/>
        </w:numPr>
        <w:spacing w:after="60"/>
      </w:pPr>
      <w:r>
        <w:t xml:space="preserve">Quem só visualiza consegue olhar, mas lançar e alterar é restrito a quem planeja.</w:t>
      </w:r>
    </w:p>
    <w:p>
      <w:pPr>
        <w:pBdr>
          <w:left w:val="single" w:color="B85C00" w:sz="24" w:space="8"/>
        </w:pBdr>
        <w:shd w:fill="FFF3E6" w:color="auto" w:val="clear"/>
        <w:spacing w:after="60" w:before="120"/>
      </w:pPr>
      <w:r>
        <w:t xml:space="preserve">Pendente: o /cald-plano do Val ainda não conversa com a Conferência, os setores </w:t>
      </w:r>
      <w:r>
        <w:rPr>
          <w:rFonts w:ascii="Consolas" w:cs="Consolas" w:eastAsia="Consolas" w:hAnsi="Consolas"/>
          <w:sz w:val="19"/>
          <w:szCs w:val="19"/>
        </w:rPr>
        <w:t xml:space="preserve">cald_*</w:t>
      </w:r>
      <w:r>
        <w:t xml:space="preserve"> e os apontamentos do Alan. Hoje são dois módulos sem vínculo.</w:t>
      </w:r>
    </w:p>
    <w:p>
      <w:pPr>
        <w:spacing w:after="60"/>
      </w:pPr>
    </w:p>
    <w:p>
      <w:pPr>
        <w:pStyle w:val="Heading2"/>
      </w:pPr>
      <w:r>
        <w:t xml:space="preserve">Requisição HRM</w:t>
      </w:r>
    </w:p>
    <w:p>
      <w:pPr>
        <w:spacing w:after="80"/>
      </w:pPr>
      <w:r>
        <w:rPr>
          <w:i/>
          <w:iCs/>
          <w:color w:val="5A6A80"/>
          <w:sz w:val="18"/>
          <w:szCs w:val="18"/>
        </w:rPr>
        <w:t xml:space="preserve">25/09 · M57</w:t>
      </w:r>
    </w:p>
    <w:p>
      <w:pPr>
        <w:pStyle w:val="ListParagraph"/>
        <w:numPr>
          <w:ilvl w:val="0"/>
          <w:numId w:val="2"/>
        </w:numPr>
        <w:spacing w:after="60"/>
      </w:pPr>
      <w:r>
        <w:t xml:space="preserve">O Alan registra a requisição feita no Omie e acompanha a compra pela tela de Recebimento. O sistema só avisa e não trava o fluxo.</w:t>
      </w:r>
    </w:p>
    <w:p>
      <w:pPr>
        <w:pStyle w:val="Heading1"/>
      </w:pPr>
      <w:r>
        <w:t xml:space="preserve">4 · Análise, relatórios e gestão</w:t>
      </w:r>
    </w:p>
    <w:p>
      <w:pPr>
        <w:pStyle w:val="Heading2"/>
      </w:pPr>
      <w:r>
        <w:t xml:space="preserve">Análise PCP (/analise)</w:t>
      </w:r>
    </w:p>
    <w:p>
      <w:pPr>
        <w:spacing w:after="80"/>
      </w:pPr>
      <w:r>
        <w:rPr>
          <w:i/>
          <w:iCs/>
          <w:color w:val="5A6A80"/>
          <w:sz w:val="18"/>
          <w:szCs w:val="18"/>
        </w:rPr>
        <w:t xml:space="preserve">17/08 → 24/09 · flag </w:t>
      </w:r>
      <w:r>
        <w:rPr>
          <w:rFonts w:ascii="Consolas" w:cs="Consolas" w:eastAsia="Consolas" w:hAnsi="Consolas"/>
          <w:i/>
          <w:iCs/>
          <w:color w:val="5A6A80"/>
          <w:sz w:val="18"/>
          <w:szCs w:val="18"/>
        </w:rPr>
        <w:t xml:space="preserve">pode_ver_analise</w:t>
      </w:r>
    </w:p>
    <w:p>
      <w:pPr>
        <w:pStyle w:val="ListParagraph"/>
        <w:numPr>
          <w:ilvl w:val="0"/>
          <w:numId w:val="2"/>
        </w:numPr>
        <w:spacing w:after="60"/>
      </w:pPr>
      <w:r>
        <w:t xml:space="preserve">Abas: Geral, Produção Homem, Produção Máquina (com tempo exato, fotos das máquinas e resumo por máquina), Catálogo de Flanges (peças por dia, semana e mês pelo ritmo real) e Capacidade (quanto dá para aceitar e entregar com segurança).</w:t>
      </w:r>
    </w:p>
    <w:p>
      <w:pPr>
        <w:pStyle w:val="ListParagraph"/>
        <w:numPr>
          <w:ilvl w:val="0"/>
          <w:numId w:val="2"/>
        </w:numPr>
        <w:spacing w:after="60"/>
      </w:pPr>
      <w:r>
        <w:t xml:space="preserve">Fechamento semanal automático, diagnóstico executivo ao vivo (só Flanges), cadastro de capacidade por máquina, funil de fabricação e meta do mês.</w:t>
      </w:r>
    </w:p>
    <w:p>
      <w:pPr>
        <w:pStyle w:val="ListParagraph"/>
        <w:numPr>
          <w:ilvl w:val="0"/>
          <w:numId w:val="2"/>
        </w:numPr>
        <w:spacing w:after="60"/>
      </w:pPr>
      <w:r>
        <w:t xml:space="preserve">Saídas do estoque por mês (inspeção × corte) em R$, com exportação para Excel e upload da planilha de faturamento.</w:t>
      </w:r>
    </w:p>
    <w:p>
      <w:pPr>
        <w:pStyle w:val="ListParagraph"/>
        <w:numPr>
          <w:ilvl w:val="0"/>
          <w:numId w:val="2"/>
        </w:numPr>
        <w:spacing w:after="60"/>
      </w:pPr>
      <w:r>
        <w:t xml:space="preserve">Abas separadas Flanges | Caldeiraria.</w:t>
      </w:r>
    </w:p>
    <w:p>
      <w:pPr>
        <w:pStyle w:val="Heading2"/>
      </w:pPr>
      <w:r>
        <w:t xml:space="preserve">Relatórios</w:t>
      </w:r>
    </w:p>
    <w:p>
      <w:pPr>
        <w:pStyle w:val="ListParagraph"/>
        <w:numPr>
          <w:ilvl w:val="0"/>
          <w:numId w:val="2"/>
        </w:numPr>
        <w:spacing w:after="60"/>
      </w:pPr>
      <w:r>
        <w:rPr>
          <w:b/>
          <w:bCs/>
        </w:rPr>
        <w:t xml:space="preserve">Relatório Pedidos + Materiais</w:t>
      </w:r>
      <w:r>
        <w:t xml:space="preserve"> por mês de emissão (botão Imprimir em Todos os Pedidos, para admin/PCP). Inclui itens inativos e imprime todas as páginas.</w:t>
      </w:r>
    </w:p>
    <w:p>
      <w:pPr>
        <w:pStyle w:val="ListParagraph"/>
        <w:numPr>
          <w:ilvl w:val="0"/>
          <w:numId w:val="2"/>
        </w:numPr>
        <w:spacing w:after="60"/>
      </w:pPr>
      <w:r>
        <w:rPr>
          <w:b/>
          <w:bCs/>
        </w:rPr>
        <w:t xml:space="preserve">Valores por Mês</w:t>
      </w:r>
      <w:r>
        <w:t xml:space="preserve"> (privado: guilherme.santos, gabriel.ribeiro, pedro.henrique), com análise por vendedor, exportação e as visões Flanges, Caldeiraria e Flanges + Caldeiraria. A visão combinada usa o Planejamento, e não as OPs HRM, para não contar em dobro.</w:t>
      </w:r>
    </w:p>
    <w:p>
      <w:pPr>
        <w:pStyle w:val="ListParagraph"/>
        <w:numPr>
          <w:ilvl w:val="0"/>
          <w:numId w:val="2"/>
        </w:numPr>
        <w:spacing w:after="60"/>
      </w:pPr>
      <w:r>
        <w:rPr>
          <w:b/>
          <w:bCs/>
        </w:rPr>
        <w:t xml:space="preserve">Paradas</w:t>
      </w:r>
      <w:r>
        <w:t xml:space="preserve">: registro privado de pedidos parados, com comparativo por dia, semana e mês (só guilherme.santos).</w:t>
      </w:r>
    </w:p>
    <w:p>
      <w:pPr>
        <w:pStyle w:val="Heading1"/>
      </w:pPr>
      <w:r>
        <w:t xml:space="preserve">5 · Acesso, segurança e infraestrutura</w:t>
      </w:r>
    </w:p>
    <w:p>
      <w:pPr>
        <w:pStyle w:val="Heading2"/>
      </w:pPr>
      <w:r>
        <w:t xml:space="preserve">Perfis e flags de acesso por usuário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F0FB" w:color="auto" w:val="clear"/>
            <w:tcMar>
              <w:top w:type="dxa" w:w="60"/>
              <w:left w:type="dxa" w:w="100"/>
              <w:bottom w:type="dxa" w:w="60"/>
              <w:right w:type="dxa" w:w="100"/>
            </w:tcMar>
          </w:tcPr>
          <w:p>
            <w:r>
              <w:rPr>
                <w:b/>
                <w:bCs/>
                <w:sz w:val="18"/>
                <w:szCs w:val="18"/>
              </w:rPr>
              <w:t xml:space="preserve">Flag / perfil</w:t>
            </w:r>
          </w:p>
        </w:tc>
        <w:tc>
          <w:tcPr>
            <w:tcW w:type="dxa" w:w="6226"/>
            <w:shd w:fill="E8F0FB" w:color="auto" w:val="clear"/>
            <w:tcMar>
              <w:top w:type="dxa" w:w="60"/>
              <w:left w:type="dxa" w:w="100"/>
              <w:bottom w:type="dxa" w:w="60"/>
              <w:right w:type="dxa" w:w="100"/>
            </w:tcMar>
          </w:tcPr>
          <w:p>
            <w:r>
              <w:rPr>
                <w:b/>
                <w:bCs/>
                <w:sz w:val="18"/>
                <w:szCs w:val="18"/>
              </w:rPr>
              <w:t xml:space="preserve">O que libera</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somente_leitura</w:t>
            </w:r>
          </w:p>
        </w:tc>
        <w:tc>
          <w:tcPr>
            <w:tcW w:type="dxa" w:w="6226"/>
            <w:tcMar>
              <w:top w:type="dxa" w:w="60"/>
              <w:left w:type="dxa" w:w="100"/>
              <w:bottom w:type="dxa" w:w="60"/>
              <w:right w:type="dxa" w:w="100"/>
            </w:tcMar>
          </w:tcPr>
          <w:p>
            <w:r>
              <w:rPr>
                <w:sz w:val="20"/>
                <w:szCs w:val="20"/>
              </w:rPr>
              <w:t xml:space="preserve">Perfil que só visualiza (bloqueio central no servidor)</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pode_ver_analise</w:t>
            </w:r>
          </w:p>
        </w:tc>
        <w:tc>
          <w:tcPr>
            <w:tcW w:type="dxa" w:w="6226"/>
            <w:tcMar>
              <w:top w:type="dxa" w:w="60"/>
              <w:left w:type="dxa" w:w="100"/>
              <w:bottom w:type="dxa" w:w="60"/>
              <w:right w:type="dxa" w:w="100"/>
            </w:tcMar>
          </w:tcPr>
          <w:p>
            <w:r>
              <w:rPr>
                <w:sz w:val="20"/>
                <w:szCs w:val="20"/>
              </w:rPr>
              <w:t xml:space="preserve">Tela Análise PCP sem ser admin</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acesso_hrm</w:t>
            </w:r>
          </w:p>
        </w:tc>
        <w:tc>
          <w:tcPr>
            <w:tcW w:type="dxa" w:w="6226"/>
            <w:tcMar>
              <w:top w:type="dxa" w:w="60"/>
              <w:left w:type="dxa" w:w="100"/>
              <w:bottom w:type="dxa" w:w="60"/>
              <w:right w:type="dxa" w:w="100"/>
            </w:tcMar>
          </w:tcPr>
          <w:p>
            <w:r>
              <w:rPr>
                <w:sz w:val="20"/>
                <w:szCs w:val="20"/>
              </w:rPr>
              <w:t xml:space="preserve">Tela Anexar OP da Caldeiraria</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acesso_conferencia_hrm</w:t>
            </w:r>
          </w:p>
        </w:tc>
        <w:tc>
          <w:tcPr>
            <w:tcW w:type="dxa" w:w="6226"/>
            <w:tcMar>
              <w:top w:type="dxa" w:w="60"/>
              <w:left w:type="dxa" w:w="100"/>
              <w:bottom w:type="dxa" w:w="60"/>
              <w:right w:type="dxa" w:w="100"/>
            </w:tcMar>
          </w:tcPr>
          <w:p>
            <w:r>
              <w:rPr>
                <w:sz w:val="20"/>
                <w:szCs w:val="20"/>
              </w:rPr>
              <w:t xml:space="preserve">Conferir e lançar OP da Caldeiraria (Alan)</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acesso_planejamento</w:t>
            </w:r>
          </w:p>
        </w:tc>
        <w:tc>
          <w:tcPr>
            <w:tcW w:type="dxa" w:w="6226"/>
            <w:tcMar>
              <w:top w:type="dxa" w:w="60"/>
              <w:left w:type="dxa" w:w="100"/>
              <w:bottom w:type="dxa" w:w="60"/>
              <w:right w:type="dxa" w:w="100"/>
            </w:tcMar>
          </w:tcPr>
          <w:p>
            <w:r>
              <w:rPr>
                <w:sz w:val="20"/>
                <w:szCs w:val="20"/>
              </w:rPr>
              <w:t xml:space="preserve">Planejamento da Usinagem (Reginaldo)</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pode_definir_previsao</w:t>
            </w:r>
          </w:p>
        </w:tc>
        <w:tc>
          <w:tcPr>
            <w:tcW w:type="dxa" w:w="6226"/>
            <w:tcMar>
              <w:top w:type="dxa" w:w="60"/>
              <w:left w:type="dxa" w:w="100"/>
              <w:bottom w:type="dxa" w:w="60"/>
              <w:right w:type="dxa" w:w="100"/>
            </w:tcMar>
          </w:tcPr>
          <w:p>
            <w:r>
              <w:rPr>
                <w:sz w:val="20"/>
                <w:szCs w:val="20"/>
              </w:rPr>
              <w:t xml:space="preserve">Definir a previsão de conclusão no card</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pode_ver_nao_localizados</w:t>
            </w:r>
          </w:p>
        </w:tc>
        <w:tc>
          <w:tcPr>
            <w:tcW w:type="dxa" w:w="6226"/>
            <w:tcMar>
              <w:top w:type="dxa" w:w="60"/>
              <w:left w:type="dxa" w:w="100"/>
              <w:bottom w:type="dxa" w:w="60"/>
              <w:right w:type="dxa" w:w="100"/>
            </w:tcMar>
          </w:tcPr>
          <w:p>
            <w:r>
              <w:rPr>
                <w:sz w:val="20"/>
                <w:szCs w:val="20"/>
              </w:rPr>
              <w:t xml:space="preserve">Aba Não Localizados</w:t>
            </w:r>
          </w:p>
        </w:tc>
      </w:tr>
      <w:tr>
        <w:trPr>
          <w:tblHeader w:val="off"/>
        </w:trPr>
        <w:tc>
          <w:tcPr>
            <w:tcW w:type="dxa" w:w="2800"/>
            <w:tcMar>
              <w:top w:type="dxa" w:w="60"/>
              <w:left w:type="dxa" w:w="100"/>
              <w:bottom w:type="dxa" w:w="60"/>
              <w:right w:type="dxa" w:w="100"/>
            </w:tcMar>
          </w:tcPr>
          <w:p>
            <w:r>
              <w:rPr>
                <w:rFonts w:ascii="Consolas" w:cs="Consolas" w:eastAsia="Consolas" w:hAnsi="Consolas"/>
                <w:sz w:val="20"/>
                <w:szCs w:val="20"/>
              </w:rPr>
              <w:t xml:space="preserve">pode_desfazer_recebimento</w:t>
            </w:r>
          </w:p>
        </w:tc>
        <w:tc>
          <w:tcPr>
            <w:tcW w:type="dxa" w:w="6226"/>
            <w:tcMar>
              <w:top w:type="dxa" w:w="60"/>
              <w:left w:type="dxa" w:w="100"/>
              <w:bottom w:type="dxa" w:w="60"/>
              <w:right w:type="dxa" w:w="100"/>
            </w:tcMar>
          </w:tcPr>
          <w:p>
            <w:r>
              <w:rPr>
                <w:sz w:val="20"/>
                <w:szCs w:val="20"/>
              </w:rPr>
              <w:t xml:space="preserve">Desfazer o recebimento</w:t>
            </w:r>
          </w:p>
        </w:tc>
      </w:tr>
      <w:tr>
        <w:trPr>
          <w:tblHeader w:val="off"/>
        </w:trPr>
        <w:tc>
          <w:tcPr>
            <w:tcW w:type="dxa" w:w="2800"/>
            <w:tcMar>
              <w:top w:type="dxa" w:w="60"/>
              <w:left w:type="dxa" w:w="100"/>
              <w:bottom w:type="dxa" w:w="60"/>
              <w:right w:type="dxa" w:w="100"/>
            </w:tcMar>
          </w:tcPr>
          <w:p>
            <w:r>
              <w:rPr>
                <w:sz w:val="20"/>
                <w:szCs w:val="20"/>
              </w:rPr>
              <w:t xml:space="preserve">Perfil "Apontador"</w:t>
            </w:r>
          </w:p>
        </w:tc>
        <w:tc>
          <w:tcPr>
            <w:tcW w:type="dxa" w:w="6226"/>
            <w:tcMar>
              <w:top w:type="dxa" w:w="60"/>
              <w:left w:type="dxa" w:w="100"/>
              <w:bottom w:type="dxa" w:w="60"/>
              <w:right w:type="dxa" w:w="100"/>
            </w:tcMar>
          </w:tcPr>
          <w:p>
            <w:r>
              <w:rPr>
                <w:sz w:val="20"/>
                <w:szCs w:val="20"/>
              </w:rPr>
              <w:t xml:space="preserve">Entra direto em Todos os Pedidos e define a previsão de fabricação</w:t>
            </w:r>
          </w:p>
        </w:tc>
      </w:tr>
      <w:tr>
        <w:trPr>
          <w:tblHeader w:val="off"/>
        </w:trPr>
        <w:tc>
          <w:tcPr>
            <w:tcW w:type="dxa" w:w="2800"/>
            <w:tcMar>
              <w:top w:type="dxa" w:w="60"/>
              <w:left w:type="dxa" w:w="100"/>
              <w:bottom w:type="dxa" w:w="60"/>
              <w:right w:type="dxa" w:w="100"/>
            </w:tcMar>
          </w:tcPr>
          <w:p>
            <w:r>
              <w:rPr>
                <w:sz w:val="20"/>
                <w:szCs w:val="20"/>
              </w:rPr>
              <w:t xml:space="preserve">Conta de vendas / "Ocultar valores"</w:t>
            </w:r>
          </w:p>
        </w:tc>
        <w:tc>
          <w:tcPr>
            <w:tcW w:type="dxa" w:w="6226"/>
            <w:tcMar>
              <w:top w:type="dxa" w:w="60"/>
              <w:left w:type="dxa" w:w="100"/>
              <w:bottom w:type="dxa" w:w="60"/>
              <w:right w:type="dxa" w:w="100"/>
            </w:tcMar>
          </w:tcPr>
          <w:p>
            <w:r>
              <w:rPr>
                <w:sz w:val="20"/>
                <w:szCs w:val="20"/>
              </w:rPr>
              <w:t xml:space="preserve">Vê todos os pedidos e áreas; o marcador esconde os R$ (M42)</w:t>
            </w:r>
          </w:p>
        </w:tc>
      </w:tr>
    </w:tbl>
    <w:p>
      <w:r>
        <w:t xml:space="preserve"/>
      </w:r>
    </w:p>
    <w:p>
      <w:pPr>
        <w:spacing w:after="120" w:before="80"/>
      </w:pPr>
      <w:r>
        <w:t xml:space="preserve">Os </w:t>
      </w:r>
      <w:r>
        <w:rPr>
          <w:b/>
          <w:bCs/>
        </w:rPr>
        <w:t xml:space="preserve">líderes de produção não veem o nome do cliente</w:t>
      </w:r>
      <w:r>
        <w:t xml:space="preserve"> (21/08). Toda flag nova exige que o usuário faça </w:t>
      </w:r>
      <w:r>
        <w:rPr>
          <w:b/>
          <w:bCs/>
        </w:rPr>
        <w:t xml:space="preserve">logout e login</w:t>
      </w:r>
      <w:r>
        <w:t xml:space="preserve"> de novo.</w:t>
      </w:r>
    </w:p>
    <w:p>
      <w:pPr>
        <w:pStyle w:val="Heading2"/>
      </w:pPr>
      <w:r>
        <w:t xml:space="preserve">Infraestrutura</w:t>
      </w:r>
    </w:p>
    <w:p>
      <w:pPr>
        <w:pStyle w:val="ListParagraph"/>
        <w:numPr>
          <w:ilvl w:val="0"/>
          <w:numId w:val="2"/>
        </w:numPr>
        <w:spacing w:after="60"/>
      </w:pPr>
      <w:r>
        <w:rPr>
          <w:b/>
          <w:bCs/>
        </w:rPr>
        <w:t xml:space="preserve">Armazenamento:</w:t>
      </w:r>
      <w:r>
        <w:t xml:space="preserve"> desenhos, fotos e anexos passaram a ser gravados no </w:t>
      </w:r>
      <w:r>
        <w:rPr>
          <w:b/>
          <w:bCs/>
        </w:rPr>
        <w:t xml:space="preserve">Backblaze B2</w:t>
      </w:r>
      <w:r>
        <w:t xml:space="preserve"> (31/08), porque o Supabase Storage estourou a cota de egress (402). O download tem re-autenticação, nova tentativa e diagnóstico de erro. Variáveis: </w:t>
      </w:r>
      <w:r>
        <w:rPr>
          <w:rFonts w:ascii="Consolas" w:cs="Consolas" w:eastAsia="Consolas" w:hAnsi="Consolas"/>
          <w:sz w:val="19"/>
          <w:szCs w:val="19"/>
        </w:rPr>
        <w:t xml:space="preserve">B2_KEY_ID</w:t>
      </w:r>
      <w:r>
        <w:t xml:space="preserve"> e </w:t>
      </w:r>
      <w:r>
        <w:rPr>
          <w:rFonts w:ascii="Consolas" w:cs="Consolas" w:eastAsia="Consolas" w:hAnsi="Consolas"/>
          <w:sz w:val="19"/>
          <w:szCs w:val="19"/>
        </w:rPr>
        <w:t xml:space="preserve">B2_APP_KEY</w:t>
      </w:r>
      <w:r>
        <w:t xml:space="preserve">.</w:t>
      </w:r>
    </w:p>
    <w:p>
      <w:pPr>
        <w:pStyle w:val="ListParagraph"/>
        <w:numPr>
          <w:ilvl w:val="0"/>
          <w:numId w:val="2"/>
        </w:numPr>
        <w:spacing w:after="60"/>
      </w:pPr>
      <w:r>
        <w:rPr>
          <w:b/>
          <w:bCs/>
        </w:rPr>
        <w:t xml:space="preserve">Migrações:</w:t>
      </w:r>
      <w:r>
        <w:t xml:space="preserve"> há uma trava por </w:t>
      </w:r>
      <w:r>
        <w:rPr>
          <w:rFonts w:ascii="Consolas" w:cs="Consolas" w:eastAsia="Consolas" w:hAnsi="Consolas"/>
          <w:sz w:val="19"/>
          <w:szCs w:val="19"/>
        </w:rPr>
        <w:t xml:space="preserve">SCHEMA_VERSION</w:t>
      </w:r>
      <w:r>
        <w:t xml:space="preserve"> (hoje 59), para não rodar o DDL a cada cold start. O login é tolerante a coluna nova ainda inexistente: ele dispara a migração na hora em vez de cair. Veja o incidente de 24/09, quando o login caiu para todos.</w:t>
      </w:r>
    </w:p>
    <w:p>
      <w:pPr>
        <w:pStyle w:val="ListParagraph"/>
        <w:numPr>
          <w:ilvl w:val="0"/>
          <w:numId w:val="2"/>
        </w:numPr>
        <w:spacing w:after="60"/>
      </w:pPr>
      <w:r>
        <w:rPr>
          <w:b/>
          <w:bCs/>
        </w:rPr>
        <w:t xml:space="preserve">CSP:</w:t>
      </w:r>
      <w:r>
        <w:t xml:space="preserve"> </w:t>
      </w:r>
      <w:r>
        <w:rPr>
          <w:rFonts w:ascii="Consolas" w:cs="Consolas" w:eastAsia="Consolas" w:hAnsi="Consolas"/>
          <w:sz w:val="19"/>
          <w:szCs w:val="19"/>
        </w:rPr>
        <w:t xml:space="preserve">frame-ancestors 'self'</w:t>
      </w:r>
      <w:r>
        <w:t xml:space="preserve">, para o visualizador da OP abrir dentro do sistema.</w:t>
      </w:r>
    </w:p>
    <w:p>
      <w:pPr>
        <w:pStyle w:val="ListParagraph"/>
        <w:numPr>
          <w:ilvl w:val="0"/>
          <w:numId w:val="2"/>
        </w:numPr>
        <w:spacing w:after="60"/>
      </w:pPr>
      <w:r>
        <w:rPr>
          <w:b/>
          <w:bCs/>
        </w:rPr>
        <w:t xml:space="preserve">Hospedagem:</w:t>
      </w:r>
      <w:r>
        <w:t xml:space="preserve"> o link principal </w:t>
      </w:r>
      <w:r>
        <w:rPr>
          <w:rFonts w:ascii="Consolas" w:cs="Consolas" w:eastAsia="Consolas" w:hAnsi="Consolas"/>
          <w:sz w:val="19"/>
          <w:szCs w:val="19"/>
        </w:rPr>
        <w:t xml:space="preserve">pcp-acosvital.vercel.app</w:t>
      </w:r>
      <w:r>
        <w:t xml:space="preserve"> voltou a responder. O link de contorno </w:t>
      </w:r>
      <w:r>
        <w:rPr>
          <w:rFonts w:ascii="Consolas" w:cs="Consolas" w:eastAsia="Consolas" w:hAnsi="Consolas"/>
          <w:sz w:val="19"/>
          <w:szCs w:val="19"/>
        </w:rPr>
        <w:t xml:space="preserve">sistemapcp-nine.vercel.app</w:t>
      </w:r>
      <w:r>
        <w:t xml:space="preserve"> também continua no ar.</w:t>
      </w:r>
    </w:p>
    <w:p>
      <w:pPr>
        <w:pStyle w:val="Heading1"/>
      </w:pPr>
      <w:r>
        <w:t xml:space="preserve">6 · Backup — situação em 28/09/2026</w:t>
      </w:r>
    </w:p>
    <w:p>
      <w:pPr>
        <w:pBdr>
          <w:left w:val="single" w:color="1A7A4A" w:sz="24" w:space="8"/>
        </w:pBdr>
        <w:shd w:fill="E6F4EC" w:color="auto" w:val="clear"/>
        <w:spacing w:after="60" w:before="120"/>
      </w:pPr>
      <w:r>
        <w:rPr>
          <w:b/>
          <w:bCs/>
        </w:rPr>
        <w:t xml:space="preserve">Backup manual completo feito hoje</w:t>
      </w:r>
      <w:r>
        <w:t xml:space="preserve">, em </w:t>
      </w:r>
      <w:r>
        <w:rPr>
          <w:rFonts w:ascii="Consolas" w:cs="Consolas" w:eastAsia="Consolas" w:hAnsi="Consolas"/>
          <w:sz w:val="19"/>
          <w:szCs w:val="19"/>
        </w:rPr>
        <w:t xml:space="preserve">Desktop\BACKUPS_PCP</w:t>
      </w:r>
      <w:r>
        <w:t xml:space="preserve">: </w:t>
      </w:r>
    </w:p>
    <w:p>
      <w:pPr>
        <w:pStyle w:val="ListParagraph"/>
        <w:numPr>
          <w:ilvl w:val="0"/>
          <w:numId w:val="2"/>
        </w:numPr>
        <w:shd w:fill="E6F4EC" w:color="auto" w:val="clear"/>
      </w:pPr>
      <w:r>
        <w:rPr>
          <w:rFonts w:ascii="Consolas" w:cs="Consolas" w:eastAsia="Consolas" w:hAnsi="Consolas"/>
          <w:sz w:val="19"/>
          <w:szCs w:val="19"/>
        </w:rPr>
        <w:t xml:space="preserve">backup_completo_2026-09-28_0706.json</w:t>
      </w:r>
      <w:r>
        <w:t xml:space="preserve">: 36 tabelas, 42.993 linhas, 20,1 MB. O arquivo reabre e as contagens de linhas conferem.</w:t>
      </w:r>
    </w:p>
    <w:p>
      <w:pPr>
        <w:pStyle w:val="ListParagraph"/>
        <w:numPr>
          <w:ilvl w:val="0"/>
          <w:numId w:val="2"/>
        </w:numPr>
        <w:shd w:fill="E6F4EC" w:color="auto" w:val="clear"/>
      </w:pPr>
      <w:r>
        <w:rPr>
          <w:rFonts w:ascii="Consolas" w:cs="Consolas" w:eastAsia="Consolas" w:hAnsi="Consolas"/>
          <w:sz w:val="19"/>
          <w:szCs w:val="19"/>
        </w:rPr>
        <w:t xml:space="preserve">sistema_pcp_esquema_banco_2026-09-28_0706.sql</w:t>
      </w:r>
      <w:r>
        <w:t xml:space="preserve">: estrutura atual (colunas, constraints, índices).</w:t>
      </w:r>
    </w:p>
    <w:p>
      <w:pPr>
        <w:pStyle w:val="ListParagraph"/>
        <w:numPr>
          <w:ilvl w:val="0"/>
          <w:numId w:val="2"/>
        </w:numPr>
        <w:shd w:fill="E6F4EC" w:color="auto" w:val="clear"/>
      </w:pPr>
      <w:r>
        <w:rPr>
          <w:rFonts w:ascii="Consolas" w:cs="Consolas" w:eastAsia="Consolas" w:hAnsi="Consolas"/>
          <w:sz w:val="19"/>
          <w:szCs w:val="19"/>
        </w:rPr>
        <w:t xml:space="preserve">sistema_pcp_codigo_2026-09-28.tar.gz</w:t>
      </w:r>
      <w:r>
        <w:t xml:space="preserve">: código do </w:t>
      </w:r>
      <w:r>
        <w:rPr>
          <w:rFonts w:ascii="Consolas" w:cs="Consolas" w:eastAsia="Consolas" w:hAnsi="Consolas"/>
          <w:sz w:val="19"/>
          <w:szCs w:val="19"/>
        </w:rPr>
        <w:t xml:space="preserve">main</w:t>
      </w:r>
      <w:r>
        <w:t xml:space="preserve"> (commit aab8e2f), sem segredos.</w:t>
      </w:r>
    </w:p>
    <w:p>
      <w:pPr>
        <w:spacing w:after="60"/>
      </w:pPr>
    </w:p>
    <w:p>
      <w:pPr>
        <w:pBdr>
          <w:left w:val="single" w:color="B00020" w:sz="24" w:space="8"/>
        </w:pBdr>
        <w:shd w:fill="FDECEA" w:color="auto" w:val="clear"/>
        <w:spacing w:after="60" w:before="120"/>
      </w:pPr>
      <w:r>
        <w:rPr>
          <w:b/>
          <w:bCs/>
        </w:rPr>
        <w:t xml:space="preserve">O backup automático está parado de novo.</w:t>
      </w:r>
      <w:r>
        <w:t xml:space="preserve"> O snapshot mais recente na nuvem é o </w:t>
      </w:r>
      <w:r>
        <w:rPr>
          <w:rFonts w:ascii="Consolas" w:cs="Consolas" w:eastAsia="Consolas" w:hAnsi="Consolas"/>
          <w:sz w:val="19"/>
          <w:szCs w:val="19"/>
        </w:rPr>
        <w:t xml:space="preserve">2026-09-16_1700</w:t>
      </w:r>
      <w:r>
        <w:t xml:space="preserve">, ou seja, está 12 dias sem gerar. A pasta de rede </w:t>
      </w:r>
      <w:r>
        <w:rPr>
          <w:rFonts w:ascii="Consolas" w:cs="Consolas" w:eastAsia="Consolas" w:hAnsi="Consolas"/>
          <w:sz w:val="19"/>
          <w:szCs w:val="19"/>
        </w:rPr>
        <w:t xml:space="preserve">\\server\REDE\...\BACKUPS</w:t>
      </w:r>
      <w:r>
        <w:t xml:space="preserve"> continua ficando inacessível em vários dias. Além disso, o automático cobre só 4 tabelas, então não é um backup completo.</w:t>
      </w:r>
    </w:p>
    <w:p>
      <w:pPr>
        <w:spacing w:after="60"/>
      </w:pPr>
    </w:p>
    <w:p>
      <w:pPr>
        <w:pBdr>
          <w:left w:val="single" w:color="B85C00" w:sz="24" w:space="8"/>
        </w:pBdr>
        <w:shd w:fill="FFF3E6" w:color="auto" w:val="clear"/>
        <w:spacing w:after="60" w:before="120"/>
      </w:pPr>
      <w:r>
        <w:rPr>
          <w:b/>
          <w:bCs/>
        </w:rPr>
        <w:t xml:space="preserve">Recomendações pendentes (decisão do Guilherme):</w:t>
      </w:r>
      <w:r>
        <w:t xml:space="preserve"> 1) apontar o cron de backup para o Backblaze B2 e ampliar para todas as tabelas; 2) resolver a credencial da pasta de rede nas tarefas agendadas; 3) criar um alerta de falha. Enquanto isso, o backup confiável é o manual, em </w:t>
      </w:r>
      <w:r>
        <w:rPr>
          <w:rFonts w:ascii="Consolas" w:cs="Consolas" w:eastAsia="Consolas" w:hAnsi="Consolas"/>
          <w:sz w:val="19"/>
          <w:szCs w:val="19"/>
        </w:rPr>
        <w:t xml:space="preserve">Desktop\BACKUPS_PCP</w:t>
      </w:r>
      <w:r>
        <w:t xml:space="preserve">.</w:t>
      </w:r>
    </w:p>
    <w:p>
      <w:pPr>
        <w:spacing w:after="60"/>
      </w:pPr>
    </w:p>
    <w:p>
      <w:pPr>
        <w:pBdr>
          <w:left w:val="single" w:color="B85C00" w:sz="24" w:space="8"/>
        </w:pBdr>
        <w:shd w:fill="FFF3E6" w:color="auto" w:val="clear"/>
        <w:spacing w:after="60" w:before="120"/>
      </w:pPr>
      <w:r>
        <w:rPr>
          <w:b/>
          <w:bCs/>
        </w:rPr>
        <w:t xml:space="preserve">Ponto de atenção nos dados:</w:t>
      </w:r>
      <w:r>
        <w:t xml:space="preserve"> no check de integridade das parciais, 1 item de 841 aparece com a soma das parciais maior que o total. É o pedido </w:t>
      </w:r>
      <w:r>
        <w:rPr>
          <w:b/>
          <w:bCs/>
        </w:rPr>
        <w:t xml:space="preserve">27225</w:t>
      </w:r>
      <w:r>
        <w:t xml:space="preserve">, código </w:t>
      </w:r>
      <w:r>
        <w:rPr>
          <w:rFonts w:ascii="Consolas" w:cs="Consolas" w:eastAsia="Consolas" w:hAnsi="Consolas"/>
          <w:sz w:val="19"/>
          <w:szCs w:val="19"/>
        </w:rPr>
        <w:t xml:space="preserve">015SRFN060</w:t>
      </w:r>
      <w:r>
        <w:t xml:space="preserve">, total de 522 contra 829 nas parciais ativas. Várias parciais dele saem de uma mesma parcial de origem de 66 peças. Pode ser falso alarme da regra de contagem ou uma duplicação real, e precisa ser verificado na tela antes de qualquer correção. Nada foi alterado.</w:t>
      </w:r>
    </w:p>
    <w:p>
      <w:pPr>
        <w:spacing w:after="60"/>
      </w:pPr>
    </w:p>
    <w:p>
      <w:pPr>
        <w:pStyle w:val="Heading1"/>
      </w:pPr>
      <w:r>
        <w:t xml:space="preserve">7 · Migrações de banco no período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526"/>
      </w:tblGrid>
      <w:tr>
        <w:trPr>
          <w:tblHeader/>
        </w:trPr>
        <w:tc>
          <w:tcPr>
            <w:tcW w:type="dxa" w:w="1400"/>
            <w:shd w:fill="E8F0FB" w:color="auto" w:val="clear"/>
            <w:tcMar>
              <w:top w:type="dxa" w:w="60"/>
              <w:left w:type="dxa" w:w="100"/>
              <w:bottom w:type="dxa" w:w="60"/>
              <w:right w:type="dxa" w:w="100"/>
            </w:tcMar>
          </w:tcPr>
          <w:p>
            <w:r>
              <w:rPr>
                <w:b/>
                <w:bCs/>
                <w:sz w:val="18"/>
                <w:szCs w:val="18"/>
              </w:rPr>
              <w:t xml:space="preserve">Migração</w:t>
            </w:r>
          </w:p>
        </w:tc>
        <w:tc>
          <w:tcPr>
            <w:tcW w:type="dxa" w:w="1100"/>
            <w:shd w:fill="E8F0FB" w:color="auto" w:val="clear"/>
            <w:tcMar>
              <w:top w:type="dxa" w:w="60"/>
              <w:left w:type="dxa" w:w="100"/>
              <w:bottom w:type="dxa" w:w="60"/>
              <w:right w:type="dxa" w:w="100"/>
            </w:tcMar>
          </w:tcPr>
          <w:p>
            <w:r>
              <w:rPr>
                <w:b/>
                <w:bCs/>
                <w:sz w:val="18"/>
                <w:szCs w:val="18"/>
              </w:rPr>
              <w:t xml:space="preserve">Data</w:t>
            </w:r>
          </w:p>
        </w:tc>
        <w:tc>
          <w:tcPr>
            <w:tcW w:type="dxa" w:w="6526"/>
            <w:shd w:fill="E8F0FB" w:color="auto" w:val="clear"/>
            <w:tcMar>
              <w:top w:type="dxa" w:w="60"/>
              <w:left w:type="dxa" w:w="100"/>
              <w:bottom w:type="dxa" w:w="60"/>
              <w:right w:type="dxa" w:w="100"/>
            </w:tcMar>
          </w:tcPr>
          <w:p>
            <w:r>
              <w:rPr>
                <w:b/>
                <w:bCs/>
                <w:sz w:val="18"/>
                <w:szCs w:val="18"/>
              </w:rPr>
              <w:t xml:space="preserve">Conteúdo</w:t>
            </w:r>
          </w:p>
        </w:tc>
      </w:tr>
      <w:tr>
        <w:trPr>
          <w:tblHeader w:val="off"/>
        </w:trPr>
        <w:tc>
          <w:tcPr>
            <w:tcW w:type="dxa" w:w="1400"/>
            <w:tcMar>
              <w:top w:type="dxa" w:w="60"/>
              <w:left w:type="dxa" w:w="100"/>
              <w:bottom w:type="dxa" w:w="60"/>
              <w:right w:type="dxa" w:w="100"/>
            </w:tcMar>
          </w:tcPr>
          <w:p>
            <w:r>
              <w:rPr>
                <w:sz w:val="20"/>
                <w:szCs w:val="20"/>
              </w:rPr>
              <w:t xml:space="preserve">M40</w:t>
            </w:r>
          </w:p>
        </w:tc>
        <w:tc>
          <w:tcPr>
            <w:tcW w:type="dxa" w:w="1100"/>
            <w:tcMar>
              <w:top w:type="dxa" w:w="60"/>
              <w:left w:type="dxa" w:w="100"/>
              <w:bottom w:type="dxa" w:w="60"/>
              <w:right w:type="dxa" w:w="100"/>
            </w:tcMar>
          </w:tcPr>
          <w:p>
            <w:r>
              <w:rPr>
                <w:sz w:val="20"/>
                <w:szCs w:val="20"/>
              </w:rPr>
              <w:t xml:space="preserve">10/09</w:t>
            </w:r>
          </w:p>
        </w:tc>
        <w:tc>
          <w:tcPr>
            <w:tcW w:type="dxa" w:w="6526"/>
            <w:tcMar>
              <w:top w:type="dxa" w:w="60"/>
              <w:left w:type="dxa" w:w="100"/>
              <w:bottom w:type="dxa" w:w="60"/>
              <w:right w:type="dxa" w:w="100"/>
            </w:tcMar>
          </w:tcPr>
          <w:p>
            <w:r>
              <w:rPr>
                <w:sz w:val="20"/>
                <w:szCs w:val="20"/>
              </w:rPr>
              <w:t xml:space="preserve">Romaneios de carga</w:t>
            </w:r>
          </w:p>
        </w:tc>
      </w:tr>
      <w:tr>
        <w:trPr>
          <w:tblHeader w:val="off"/>
        </w:trPr>
        <w:tc>
          <w:tcPr>
            <w:tcW w:type="dxa" w:w="1400"/>
            <w:tcMar>
              <w:top w:type="dxa" w:w="60"/>
              <w:left w:type="dxa" w:w="100"/>
              <w:bottom w:type="dxa" w:w="60"/>
              <w:right w:type="dxa" w:w="100"/>
            </w:tcMar>
          </w:tcPr>
          <w:p>
            <w:r>
              <w:rPr>
                <w:sz w:val="20"/>
                <w:szCs w:val="20"/>
              </w:rPr>
              <w:t xml:space="preserve">M41</w:t>
            </w:r>
          </w:p>
        </w:tc>
        <w:tc>
          <w:tcPr>
            <w:tcW w:type="dxa" w:w="1100"/>
            <w:tcMar>
              <w:top w:type="dxa" w:w="60"/>
              <w:left w:type="dxa" w:w="100"/>
              <w:bottom w:type="dxa" w:w="60"/>
              <w:right w:type="dxa" w:w="100"/>
            </w:tcMar>
          </w:tcPr>
          <w:p>
            <w:r>
              <w:rPr>
                <w:sz w:val="20"/>
                <w:szCs w:val="20"/>
              </w:rPr>
              <w:t xml:space="preserve">10/09</w:t>
            </w:r>
          </w:p>
        </w:tc>
        <w:tc>
          <w:tcPr>
            <w:tcW w:type="dxa" w:w="6526"/>
            <w:tcMar>
              <w:top w:type="dxa" w:w="60"/>
              <w:left w:type="dxa" w:w="100"/>
              <w:bottom w:type="dxa" w:w="60"/>
              <w:right w:type="dxa" w:w="100"/>
            </w:tcMar>
          </w:tcPr>
          <w:p>
            <w:r>
              <w:rPr>
                <w:sz w:val="20"/>
                <w:szCs w:val="20"/>
              </w:rPr>
              <w:t xml:space="preserve">Prazo de finalização por setor (item e pedido)</w:t>
            </w:r>
          </w:p>
        </w:tc>
      </w:tr>
      <w:tr>
        <w:trPr>
          <w:tblHeader w:val="off"/>
        </w:trPr>
        <w:tc>
          <w:tcPr>
            <w:tcW w:type="dxa" w:w="1400"/>
            <w:tcMar>
              <w:top w:type="dxa" w:w="60"/>
              <w:left w:type="dxa" w:w="100"/>
              <w:bottom w:type="dxa" w:w="60"/>
              <w:right w:type="dxa" w:w="100"/>
            </w:tcMar>
          </w:tcPr>
          <w:p>
            <w:r>
              <w:rPr>
                <w:sz w:val="20"/>
                <w:szCs w:val="20"/>
              </w:rPr>
              <w:t xml:space="preserve">M42</w:t>
            </w:r>
          </w:p>
        </w:tc>
        <w:tc>
          <w:tcPr>
            <w:tcW w:type="dxa" w:w="1100"/>
            <w:tcMar>
              <w:top w:type="dxa" w:w="60"/>
              <w:left w:type="dxa" w:w="100"/>
              <w:bottom w:type="dxa" w:w="60"/>
              <w:right w:type="dxa" w:w="100"/>
            </w:tcMar>
          </w:tcPr>
          <w:p>
            <w:r>
              <w:rPr>
                <w:sz w:val="20"/>
                <w:szCs w:val="20"/>
              </w:rPr>
              <w:t xml:space="preserve">11/09</w:t>
            </w:r>
          </w:p>
        </w:tc>
        <w:tc>
          <w:tcPr>
            <w:tcW w:type="dxa" w:w="6526"/>
            <w:tcMar>
              <w:top w:type="dxa" w:w="60"/>
              <w:left w:type="dxa" w:w="100"/>
              <w:bottom w:type="dxa" w:w="60"/>
              <w:right w:type="dxa" w:w="100"/>
            </w:tcMar>
          </w:tcPr>
          <w:p>
            <w:r>
              <w:rPr>
                <w:sz w:val="20"/>
                <w:szCs w:val="20"/>
              </w:rPr>
              <w:t xml:space="preserve">Ocultar valores (R$) por usuário</w:t>
            </w:r>
          </w:p>
        </w:tc>
      </w:tr>
      <w:tr>
        <w:trPr>
          <w:tblHeader w:val="off"/>
        </w:trPr>
        <w:tc>
          <w:tcPr>
            <w:tcW w:type="dxa" w:w="1400"/>
            <w:tcMar>
              <w:top w:type="dxa" w:w="60"/>
              <w:left w:type="dxa" w:w="100"/>
              <w:bottom w:type="dxa" w:w="60"/>
              <w:right w:type="dxa" w:w="100"/>
            </w:tcMar>
          </w:tcPr>
          <w:p>
            <w:r>
              <w:rPr>
                <w:sz w:val="20"/>
                <w:szCs w:val="20"/>
              </w:rPr>
              <w:t xml:space="preserve">M43</w:t>
            </w:r>
          </w:p>
        </w:tc>
        <w:tc>
          <w:tcPr>
            <w:tcW w:type="dxa" w:w="1100"/>
            <w:tcMar>
              <w:top w:type="dxa" w:w="60"/>
              <w:left w:type="dxa" w:w="100"/>
              <w:bottom w:type="dxa" w:w="60"/>
              <w:right w:type="dxa" w:w="100"/>
            </w:tcMar>
          </w:tcPr>
          <w:p>
            <w:r>
              <w:rPr>
                <w:sz w:val="20"/>
                <w:szCs w:val="20"/>
              </w:rPr>
              <w:t xml:space="preserve">14/09</w:t>
            </w:r>
          </w:p>
        </w:tc>
        <w:tc>
          <w:tcPr>
            <w:tcW w:type="dxa" w:w="6526"/>
            <w:tcMar>
              <w:top w:type="dxa" w:w="60"/>
              <w:left w:type="dxa" w:w="100"/>
              <w:bottom w:type="dxa" w:w="60"/>
              <w:right w:type="dxa" w:w="100"/>
            </w:tcMar>
          </w:tcPr>
          <w:p>
            <w:r>
              <w:rPr>
                <w:sz w:val="20"/>
                <w:szCs w:val="20"/>
              </w:rPr>
              <w:t xml:space="preserve">Planejamento da Usinagem (flag + plano por máquina)</w:t>
            </w:r>
          </w:p>
        </w:tc>
      </w:tr>
      <w:tr>
        <w:trPr>
          <w:tblHeader w:val="off"/>
        </w:trPr>
        <w:tc>
          <w:tcPr>
            <w:tcW w:type="dxa" w:w="1400"/>
            <w:tcMar>
              <w:top w:type="dxa" w:w="60"/>
              <w:left w:type="dxa" w:w="100"/>
              <w:bottom w:type="dxa" w:w="60"/>
              <w:right w:type="dxa" w:w="100"/>
            </w:tcMar>
          </w:tcPr>
          <w:p>
            <w:r>
              <w:rPr>
                <w:sz w:val="20"/>
                <w:szCs w:val="20"/>
              </w:rPr>
              <w:t xml:space="preserve">M44–M46</w:t>
            </w:r>
          </w:p>
        </w:tc>
        <w:tc>
          <w:tcPr>
            <w:tcW w:type="dxa" w:w="1100"/>
            <w:tcMar>
              <w:top w:type="dxa" w:w="60"/>
              <w:left w:type="dxa" w:w="100"/>
              <w:bottom w:type="dxa" w:w="60"/>
              <w:right w:type="dxa" w:w="100"/>
            </w:tcMar>
          </w:tcPr>
          <w:p>
            <w:r>
              <w:rPr>
                <w:sz w:val="20"/>
                <w:szCs w:val="20"/>
              </w:rPr>
              <w:t xml:space="preserve">14/09</w:t>
            </w:r>
          </w:p>
        </w:tc>
        <w:tc>
          <w:tcPr>
            <w:tcW w:type="dxa" w:w="6526"/>
            <w:tcMar>
              <w:top w:type="dxa" w:w="60"/>
              <w:left w:type="dxa" w:w="100"/>
              <w:bottom w:type="dxa" w:w="60"/>
              <w:right w:type="dxa" w:w="100"/>
            </w:tcMar>
          </w:tcPr>
          <w:p>
            <w:r>
              <w:rPr>
                <w:sz w:val="20"/>
                <w:szCs w:val="20"/>
              </w:rPr>
              <w:t xml:space="preserve">Avisos de produção, encaminhar produção, fixar no topo</w:t>
            </w:r>
          </w:p>
        </w:tc>
      </w:tr>
      <w:tr>
        <w:trPr>
          <w:tblHeader w:val="off"/>
        </w:trPr>
        <w:tc>
          <w:tcPr>
            <w:tcW w:type="dxa" w:w="1400"/>
            <w:tcMar>
              <w:top w:type="dxa" w:w="60"/>
              <w:left w:type="dxa" w:w="100"/>
              <w:bottom w:type="dxa" w:w="60"/>
              <w:right w:type="dxa" w:w="100"/>
            </w:tcMar>
          </w:tcPr>
          <w:p>
            <w:r>
              <w:rPr>
                <w:sz w:val="20"/>
                <w:szCs w:val="20"/>
              </w:rPr>
              <w:t xml:space="preserve">M45</w:t>
            </w:r>
          </w:p>
        </w:tc>
        <w:tc>
          <w:tcPr>
            <w:tcW w:type="dxa" w:w="1100"/>
            <w:tcMar>
              <w:top w:type="dxa" w:w="60"/>
              <w:left w:type="dxa" w:w="100"/>
              <w:bottom w:type="dxa" w:w="60"/>
              <w:right w:type="dxa" w:w="100"/>
            </w:tcMar>
          </w:tcPr>
          <w:p>
            <w:r>
              <w:rPr>
                <w:sz w:val="20"/>
                <w:szCs w:val="20"/>
              </w:rPr>
              <w:t xml:space="preserve">24/09</w:t>
            </w:r>
          </w:p>
        </w:tc>
        <w:tc>
          <w:tcPr>
            <w:tcW w:type="dxa" w:w="6526"/>
            <w:tcMar>
              <w:top w:type="dxa" w:w="60"/>
              <w:left w:type="dxa" w:w="100"/>
              <w:bottom w:type="dxa" w:w="60"/>
              <w:right w:type="dxa" w:w="100"/>
            </w:tcMar>
          </w:tcPr>
          <w:p>
            <w:r>
              <w:rPr>
                <w:sz w:val="20"/>
                <w:szCs w:val="20"/>
              </w:rPr>
              <w:t xml:space="preserve">Flag acesso_conferencia_hrm + login do Alan</w:t>
            </w:r>
          </w:p>
        </w:tc>
      </w:tr>
      <w:tr>
        <w:trPr>
          <w:tblHeader w:val="off"/>
        </w:trPr>
        <w:tc>
          <w:tcPr>
            <w:tcW w:type="dxa" w:w="1400"/>
            <w:tcMar>
              <w:top w:type="dxa" w:w="60"/>
              <w:left w:type="dxa" w:w="100"/>
              <w:bottom w:type="dxa" w:w="60"/>
              <w:right w:type="dxa" w:w="100"/>
            </w:tcMar>
          </w:tcPr>
          <w:p>
            <w:r>
              <w:rPr>
                <w:sz w:val="20"/>
                <w:szCs w:val="20"/>
              </w:rPr>
              <w:t xml:space="preserve">M46</w:t>
            </w:r>
          </w:p>
        </w:tc>
        <w:tc>
          <w:tcPr>
            <w:tcW w:type="dxa" w:w="1100"/>
            <w:tcMar>
              <w:top w:type="dxa" w:w="60"/>
              <w:left w:type="dxa" w:w="100"/>
              <w:bottom w:type="dxa" w:w="60"/>
              <w:right w:type="dxa" w:w="100"/>
            </w:tcMar>
          </w:tcPr>
          <w:p>
            <w:r>
              <w:rPr>
                <w:sz w:val="20"/>
                <w:szCs w:val="20"/>
              </w:rPr>
              <w:t xml:space="preserve">25/09</w:t>
            </w:r>
          </w:p>
        </w:tc>
        <w:tc>
          <w:tcPr>
            <w:tcW w:type="dxa" w:w="6526"/>
            <w:tcMar>
              <w:top w:type="dxa" w:w="60"/>
              <w:left w:type="dxa" w:w="100"/>
              <w:bottom w:type="dxa" w:w="60"/>
              <w:right w:type="dxa" w:w="100"/>
            </w:tcMar>
          </w:tcPr>
          <w:p>
            <w:r>
              <w:rPr>
                <w:sz w:val="20"/>
                <w:szCs w:val="20"/>
              </w:rPr>
              <w:t xml:space="preserve">Setores Corte e Usinagem Caldeiraria</w:t>
            </w:r>
          </w:p>
        </w:tc>
      </w:tr>
      <w:tr>
        <w:trPr>
          <w:tblHeader w:val="off"/>
        </w:trPr>
        <w:tc>
          <w:tcPr>
            <w:tcW w:type="dxa" w:w="1400"/>
            <w:tcMar>
              <w:top w:type="dxa" w:w="60"/>
              <w:left w:type="dxa" w:w="100"/>
              <w:bottom w:type="dxa" w:w="60"/>
              <w:right w:type="dxa" w:w="100"/>
            </w:tcMar>
          </w:tcPr>
          <w:p>
            <w:r>
              <w:rPr>
                <w:sz w:val="20"/>
                <w:szCs w:val="20"/>
              </w:rPr>
              <w:t xml:space="preserve">M47</w:t>
            </w:r>
          </w:p>
        </w:tc>
        <w:tc>
          <w:tcPr>
            <w:tcW w:type="dxa" w:w="1100"/>
            <w:tcMar>
              <w:top w:type="dxa" w:w="60"/>
              <w:left w:type="dxa" w:w="100"/>
              <w:bottom w:type="dxa" w:w="60"/>
              <w:right w:type="dxa" w:w="100"/>
            </w:tcMar>
          </w:tcPr>
          <w:p>
            <w:r>
              <w:rPr>
                <w:sz w:val="20"/>
                <w:szCs w:val="20"/>
              </w:rPr>
              <w:t xml:space="preserve">17/09</w:t>
            </w:r>
          </w:p>
        </w:tc>
        <w:tc>
          <w:tcPr>
            <w:tcW w:type="dxa" w:w="6526"/>
            <w:tcMar>
              <w:top w:type="dxa" w:w="60"/>
              <w:left w:type="dxa" w:w="100"/>
              <w:bottom w:type="dxa" w:w="60"/>
              <w:right w:type="dxa" w:w="100"/>
            </w:tcMar>
          </w:tcPr>
          <w:p>
            <w:r>
              <w:rPr>
                <w:sz w:val="20"/>
                <w:szCs w:val="20"/>
              </w:rPr>
              <w:t xml:space="preserve">Iniciar Conferência (PCP HRM)</w:t>
            </w:r>
          </w:p>
        </w:tc>
      </w:tr>
      <w:tr>
        <w:trPr>
          <w:tblHeader w:val="off"/>
        </w:trPr>
        <w:tc>
          <w:tcPr>
            <w:tcW w:type="dxa" w:w="1400"/>
            <w:tcMar>
              <w:top w:type="dxa" w:w="60"/>
              <w:left w:type="dxa" w:w="100"/>
              <w:bottom w:type="dxa" w:w="60"/>
              <w:right w:type="dxa" w:w="100"/>
            </w:tcMar>
          </w:tcPr>
          <w:p>
            <w:r>
              <w:rPr>
                <w:sz w:val="20"/>
                <w:szCs w:val="20"/>
              </w:rPr>
              <w:t xml:space="preserve">M48</w:t>
            </w:r>
          </w:p>
        </w:tc>
        <w:tc>
          <w:tcPr>
            <w:tcW w:type="dxa" w:w="1100"/>
            <w:tcMar>
              <w:top w:type="dxa" w:w="60"/>
              <w:left w:type="dxa" w:w="100"/>
              <w:bottom w:type="dxa" w:w="60"/>
              <w:right w:type="dxa" w:w="100"/>
            </w:tcMar>
          </w:tcPr>
          <w:p>
            <w:r>
              <w:rPr>
                <w:sz w:val="20"/>
                <w:szCs w:val="20"/>
              </w:rPr>
              <w:t xml:space="preserve">22/09</w:t>
            </w:r>
          </w:p>
        </w:tc>
        <w:tc>
          <w:tcPr>
            <w:tcW w:type="dxa" w:w="6526"/>
            <w:tcMar>
              <w:top w:type="dxa" w:w="60"/>
              <w:left w:type="dxa" w:w="100"/>
              <w:bottom w:type="dxa" w:w="60"/>
              <w:right w:type="dxa" w:w="100"/>
            </w:tcMar>
          </w:tcPr>
          <w:p>
            <w:r>
              <w:rPr>
                <w:sz w:val="20"/>
                <w:szCs w:val="20"/>
              </w:rPr>
              <w:t xml:space="preserve">Nº de rastreabilidade por material</w:t>
            </w:r>
          </w:p>
        </w:tc>
      </w:tr>
      <w:tr>
        <w:trPr>
          <w:tblHeader w:val="off"/>
        </w:trPr>
        <w:tc>
          <w:tcPr>
            <w:tcW w:type="dxa" w:w="1400"/>
            <w:tcMar>
              <w:top w:type="dxa" w:w="60"/>
              <w:left w:type="dxa" w:w="100"/>
              <w:bottom w:type="dxa" w:w="60"/>
              <w:right w:type="dxa" w:w="100"/>
            </w:tcMar>
          </w:tcPr>
          <w:p>
            <w:r>
              <w:rPr>
                <w:sz w:val="20"/>
                <w:szCs w:val="20"/>
              </w:rPr>
              <w:t xml:space="preserve">M49</w:t>
            </w:r>
          </w:p>
        </w:tc>
        <w:tc>
          <w:tcPr>
            <w:tcW w:type="dxa" w:w="1100"/>
            <w:tcMar>
              <w:top w:type="dxa" w:w="60"/>
              <w:left w:type="dxa" w:w="100"/>
              <w:bottom w:type="dxa" w:w="60"/>
              <w:right w:type="dxa" w:w="100"/>
            </w:tcMar>
          </w:tcPr>
          <w:p>
            <w:r>
              <w:rPr>
                <w:sz w:val="20"/>
                <w:szCs w:val="20"/>
              </w:rPr>
              <w:t xml:space="preserve">24/09</w:t>
            </w:r>
          </w:p>
        </w:tc>
        <w:tc>
          <w:tcPr>
            <w:tcW w:type="dxa" w:w="6526"/>
            <w:tcMar>
              <w:top w:type="dxa" w:w="60"/>
              <w:left w:type="dxa" w:w="100"/>
              <w:bottom w:type="dxa" w:w="60"/>
              <w:right w:type="dxa" w:w="100"/>
            </w:tcMar>
          </w:tcPr>
          <w:p>
            <w:r>
              <w:rPr>
                <w:sz w:val="20"/>
                <w:szCs w:val="20"/>
              </w:rPr>
              <w:t xml:space="preserve">Planejamento da Caldeiraria (/cald-plano)</w:t>
            </w:r>
          </w:p>
        </w:tc>
      </w:tr>
      <w:tr>
        <w:trPr>
          <w:tblHeader w:val="off"/>
        </w:trPr>
        <w:tc>
          <w:tcPr>
            <w:tcW w:type="dxa" w:w="1400"/>
            <w:tcMar>
              <w:top w:type="dxa" w:w="60"/>
              <w:left w:type="dxa" w:w="100"/>
              <w:bottom w:type="dxa" w:w="60"/>
              <w:right w:type="dxa" w:w="100"/>
            </w:tcMar>
          </w:tcPr>
          <w:p>
            <w:r>
              <w:rPr>
                <w:sz w:val="20"/>
                <w:szCs w:val="20"/>
              </w:rPr>
              <w:t xml:space="preserve">M50</w:t>
            </w:r>
          </w:p>
        </w:tc>
        <w:tc>
          <w:tcPr>
            <w:tcW w:type="dxa" w:w="1100"/>
            <w:tcMar>
              <w:top w:type="dxa" w:w="60"/>
              <w:left w:type="dxa" w:w="100"/>
              <w:bottom w:type="dxa" w:w="60"/>
              <w:right w:type="dxa" w:w="100"/>
            </w:tcMar>
          </w:tcPr>
          <w:p>
            <w:r>
              <w:rPr>
                <w:sz w:val="20"/>
                <w:szCs w:val="20"/>
              </w:rPr>
              <w:t xml:space="preserve">24/09</w:t>
            </w:r>
          </w:p>
        </w:tc>
        <w:tc>
          <w:tcPr>
            <w:tcW w:type="dxa" w:w="6526"/>
            <w:tcMar>
              <w:top w:type="dxa" w:w="60"/>
              <w:left w:type="dxa" w:w="100"/>
              <w:bottom w:type="dxa" w:w="60"/>
              <w:right w:type="dxa" w:w="100"/>
            </w:tcMar>
          </w:tcPr>
          <w:p>
            <w:r>
              <w:rPr>
                <w:sz w:val="20"/>
                <w:szCs w:val="20"/>
              </w:rPr>
              <w:t xml:space="preserve">Cobranças da caixa de pendências</w:t>
            </w:r>
          </w:p>
        </w:tc>
      </w:tr>
      <w:tr>
        <w:trPr>
          <w:tblHeader w:val="off"/>
        </w:trPr>
        <w:tc>
          <w:tcPr>
            <w:tcW w:type="dxa" w:w="1400"/>
            <w:tcMar>
              <w:top w:type="dxa" w:w="60"/>
              <w:left w:type="dxa" w:w="100"/>
              <w:bottom w:type="dxa" w:w="60"/>
              <w:right w:type="dxa" w:w="100"/>
            </w:tcMar>
          </w:tcPr>
          <w:p>
            <w:r>
              <w:rPr>
                <w:sz w:val="20"/>
                <w:szCs w:val="20"/>
              </w:rPr>
              <w:t xml:space="preserve">M51</w:t>
            </w:r>
          </w:p>
        </w:tc>
        <w:tc>
          <w:tcPr>
            <w:tcW w:type="dxa" w:w="1100"/>
            <w:tcMar>
              <w:top w:type="dxa" w:w="60"/>
              <w:left w:type="dxa" w:w="100"/>
              <w:bottom w:type="dxa" w:w="60"/>
              <w:right w:type="dxa" w:w="100"/>
            </w:tcMar>
          </w:tcPr>
          <w:p>
            <w:r>
              <w:rPr>
                <w:sz w:val="20"/>
                <w:szCs w:val="20"/>
              </w:rPr>
              <w:t xml:space="preserve">24/09</w:t>
            </w:r>
          </w:p>
        </w:tc>
        <w:tc>
          <w:tcPr>
            <w:tcW w:type="dxa" w:w="6526"/>
            <w:tcMar>
              <w:top w:type="dxa" w:w="60"/>
              <w:left w:type="dxa" w:w="100"/>
              <w:bottom w:type="dxa" w:w="60"/>
              <w:right w:type="dxa" w:w="100"/>
            </w:tcMar>
          </w:tcPr>
          <w:p>
            <w:r>
              <w:rPr>
                <w:sz w:val="20"/>
                <w:szCs w:val="20"/>
              </w:rPr>
              <w:t xml:space="preserve">Empresa do pedido</w:t>
            </w:r>
          </w:p>
        </w:tc>
      </w:tr>
      <w:tr>
        <w:trPr>
          <w:tblHeader w:val="off"/>
        </w:trPr>
        <w:tc>
          <w:tcPr>
            <w:tcW w:type="dxa" w:w="1400"/>
            <w:tcMar>
              <w:top w:type="dxa" w:w="60"/>
              <w:left w:type="dxa" w:w="100"/>
              <w:bottom w:type="dxa" w:w="60"/>
              <w:right w:type="dxa" w:w="100"/>
            </w:tcMar>
          </w:tcPr>
          <w:p>
            <w:r>
              <w:rPr>
                <w:sz w:val="20"/>
                <w:szCs w:val="20"/>
              </w:rPr>
              <w:t xml:space="preserve">M52</w:t>
            </w:r>
          </w:p>
        </w:tc>
        <w:tc>
          <w:tcPr>
            <w:tcW w:type="dxa" w:w="1100"/>
            <w:tcMar>
              <w:top w:type="dxa" w:w="60"/>
              <w:left w:type="dxa" w:w="100"/>
              <w:bottom w:type="dxa" w:w="60"/>
              <w:right w:type="dxa" w:w="100"/>
            </w:tcMar>
          </w:tcPr>
          <w:p>
            <w:r>
              <w:rPr>
                <w:sz w:val="20"/>
                <w:szCs w:val="20"/>
              </w:rPr>
              <w:t xml:space="preserve">24/09</w:t>
            </w:r>
          </w:p>
        </w:tc>
        <w:tc>
          <w:tcPr>
            <w:tcW w:type="dxa" w:w="6526"/>
            <w:tcMar>
              <w:top w:type="dxa" w:w="60"/>
              <w:left w:type="dxa" w:w="100"/>
              <w:bottom w:type="dxa" w:w="60"/>
              <w:right w:type="dxa" w:w="100"/>
            </w:tcMar>
          </w:tcPr>
          <w:p>
            <w:r>
              <w:rPr>
                <w:sz w:val="20"/>
                <w:szCs w:val="20"/>
              </w:rPr>
              <w:t xml:space="preserve">Correção de valor digitado com ponto de milhar</w:t>
            </w:r>
          </w:p>
        </w:tc>
      </w:tr>
      <w:tr>
        <w:trPr>
          <w:tblHeader w:val="off"/>
        </w:trPr>
        <w:tc>
          <w:tcPr>
            <w:tcW w:type="dxa" w:w="1400"/>
            <w:tcMar>
              <w:top w:type="dxa" w:w="60"/>
              <w:left w:type="dxa" w:w="100"/>
              <w:bottom w:type="dxa" w:w="60"/>
              <w:right w:type="dxa" w:w="100"/>
            </w:tcMar>
          </w:tcPr>
          <w:p>
            <w:r>
              <w:rPr>
                <w:sz w:val="20"/>
                <w:szCs w:val="20"/>
              </w:rPr>
              <w:t xml:space="preserve">M53</w:t>
            </w:r>
          </w:p>
        </w:tc>
        <w:tc>
          <w:tcPr>
            <w:tcW w:type="dxa" w:w="1100"/>
            <w:tcMar>
              <w:top w:type="dxa" w:w="60"/>
              <w:left w:type="dxa" w:w="100"/>
              <w:bottom w:type="dxa" w:w="60"/>
              <w:right w:type="dxa" w:w="100"/>
            </w:tcMar>
          </w:tcPr>
          <w:p>
            <w:r>
              <w:rPr>
                <w:sz w:val="20"/>
                <w:szCs w:val="20"/>
              </w:rPr>
              <w:t xml:space="preserve">24/09</w:t>
            </w:r>
          </w:p>
        </w:tc>
        <w:tc>
          <w:tcPr>
            <w:tcW w:type="dxa" w:w="6526"/>
            <w:tcMar>
              <w:top w:type="dxa" w:w="60"/>
              <w:left w:type="dxa" w:w="100"/>
              <w:bottom w:type="dxa" w:w="60"/>
              <w:right w:type="dxa" w:w="100"/>
            </w:tcMar>
          </w:tcPr>
          <w:p>
            <w:r>
              <w:rPr>
                <w:sz w:val="20"/>
                <w:szCs w:val="20"/>
              </w:rPr>
              <w:t xml:space="preserve">Valor unitário da mercadoria</w:t>
            </w:r>
          </w:p>
        </w:tc>
      </w:tr>
      <w:tr>
        <w:trPr>
          <w:tblHeader w:val="off"/>
        </w:trPr>
        <w:tc>
          <w:tcPr>
            <w:tcW w:type="dxa" w:w="1400"/>
            <w:tcMar>
              <w:top w:type="dxa" w:w="60"/>
              <w:left w:type="dxa" w:w="100"/>
              <w:bottom w:type="dxa" w:w="60"/>
              <w:right w:type="dxa" w:w="100"/>
            </w:tcMar>
          </w:tcPr>
          <w:p>
            <w:r>
              <w:rPr>
                <w:sz w:val="20"/>
                <w:szCs w:val="20"/>
              </w:rPr>
              <w:t xml:space="preserve">M54</w:t>
            </w:r>
          </w:p>
        </w:tc>
        <w:tc>
          <w:tcPr>
            <w:tcW w:type="dxa" w:w="1100"/>
            <w:tcMar>
              <w:top w:type="dxa" w:w="60"/>
              <w:left w:type="dxa" w:w="100"/>
              <w:bottom w:type="dxa" w:w="60"/>
              <w:right w:type="dxa" w:w="100"/>
            </w:tcMar>
          </w:tcPr>
          <w:p>
            <w:r>
              <w:rPr>
                <w:sz w:val="20"/>
                <w:szCs w:val="20"/>
              </w:rPr>
              <w:t xml:space="preserve">25/09</w:t>
            </w:r>
          </w:p>
        </w:tc>
        <w:tc>
          <w:tcPr>
            <w:tcW w:type="dxa" w:w="6526"/>
            <w:tcMar>
              <w:top w:type="dxa" w:w="60"/>
              <w:left w:type="dxa" w:w="100"/>
              <w:bottom w:type="dxa" w:w="60"/>
              <w:right w:type="dxa" w:w="100"/>
            </w:tcMar>
          </w:tcPr>
          <w:p>
            <w:r>
              <w:rPr>
                <w:sz w:val="20"/>
                <w:szCs w:val="20"/>
              </w:rPr>
              <w:t xml:space="preserve">Setores novos da Caldeiraria HRM</w:t>
            </w:r>
          </w:p>
        </w:tc>
      </w:tr>
      <w:tr>
        <w:trPr>
          <w:tblHeader w:val="off"/>
        </w:trPr>
        <w:tc>
          <w:tcPr>
            <w:tcW w:type="dxa" w:w="1400"/>
            <w:tcMar>
              <w:top w:type="dxa" w:w="60"/>
              <w:left w:type="dxa" w:w="100"/>
              <w:bottom w:type="dxa" w:w="60"/>
              <w:right w:type="dxa" w:w="100"/>
            </w:tcMar>
          </w:tcPr>
          <w:p>
            <w:r>
              <w:rPr>
                <w:sz w:val="20"/>
                <w:szCs w:val="20"/>
              </w:rPr>
              <w:t xml:space="preserve">M55</w:t>
            </w:r>
          </w:p>
        </w:tc>
        <w:tc>
          <w:tcPr>
            <w:tcW w:type="dxa" w:w="1100"/>
            <w:tcMar>
              <w:top w:type="dxa" w:w="60"/>
              <w:left w:type="dxa" w:w="100"/>
              <w:bottom w:type="dxa" w:w="60"/>
              <w:right w:type="dxa" w:w="100"/>
            </w:tcMar>
          </w:tcPr>
          <w:p>
            <w:r>
              <w:rPr>
                <w:sz w:val="20"/>
                <w:szCs w:val="20"/>
              </w:rPr>
              <w:t xml:space="preserve">25/09</w:t>
            </w:r>
          </w:p>
        </w:tc>
        <w:tc>
          <w:tcPr>
            <w:tcW w:type="dxa" w:w="6526"/>
            <w:tcMar>
              <w:top w:type="dxa" w:w="60"/>
              <w:left w:type="dxa" w:w="100"/>
              <w:bottom w:type="dxa" w:w="60"/>
              <w:right w:type="dxa" w:w="100"/>
            </w:tcMar>
          </w:tcPr>
          <w:p>
            <w:r>
              <w:rPr>
                <w:sz w:val="20"/>
                <w:szCs w:val="20"/>
              </w:rPr>
              <w:t xml:space="preserve">Compras HRM (</w:t>
            </w:r>
            <w:r>
              <w:rPr>
                <w:rFonts w:ascii="Consolas" w:cs="Consolas" w:eastAsia="Consolas" w:hAnsi="Consolas"/>
                <w:sz w:val="20"/>
                <w:szCs w:val="20"/>
              </w:rPr>
              <w:t xml:space="preserve">cald_compras</w:t>
            </w:r>
            <w:r>
              <w:rPr>
                <w:sz w:val="20"/>
                <w:szCs w:val="20"/>
              </w:rPr>
              <w:t xml:space="preserve">)</w:t>
            </w:r>
          </w:p>
        </w:tc>
      </w:tr>
      <w:tr>
        <w:trPr>
          <w:tblHeader w:val="off"/>
        </w:trPr>
        <w:tc>
          <w:tcPr>
            <w:tcW w:type="dxa" w:w="1400"/>
            <w:tcMar>
              <w:top w:type="dxa" w:w="60"/>
              <w:left w:type="dxa" w:w="100"/>
              <w:bottom w:type="dxa" w:w="60"/>
              <w:right w:type="dxa" w:w="100"/>
            </w:tcMar>
          </w:tcPr>
          <w:p>
            <w:r>
              <w:rPr>
                <w:sz w:val="20"/>
                <w:szCs w:val="20"/>
              </w:rPr>
              <w:t xml:space="preserve">M56</w:t>
            </w:r>
          </w:p>
        </w:tc>
        <w:tc>
          <w:tcPr>
            <w:tcW w:type="dxa" w:w="1100"/>
            <w:tcMar>
              <w:top w:type="dxa" w:w="60"/>
              <w:left w:type="dxa" w:w="100"/>
              <w:bottom w:type="dxa" w:w="60"/>
              <w:right w:type="dxa" w:w="100"/>
            </w:tcMar>
          </w:tcPr>
          <w:p>
            <w:r>
              <w:rPr>
                <w:sz w:val="20"/>
                <w:szCs w:val="20"/>
              </w:rPr>
              <w:t xml:space="preserve">25/09</w:t>
            </w:r>
          </w:p>
        </w:tc>
        <w:tc>
          <w:tcPr>
            <w:tcW w:type="dxa" w:w="6526"/>
            <w:tcMar>
              <w:top w:type="dxa" w:w="60"/>
              <w:left w:type="dxa" w:w="100"/>
              <w:bottom w:type="dxa" w:w="60"/>
              <w:right w:type="dxa" w:w="100"/>
            </w:tcMar>
          </w:tcPr>
          <w:p>
            <w:r>
              <w:rPr>
                <w:sz w:val="20"/>
                <w:szCs w:val="20"/>
              </w:rPr>
              <w:t xml:space="preserve">Sub-setor HRM + recados</w:t>
            </w:r>
          </w:p>
        </w:tc>
      </w:tr>
      <w:tr>
        <w:trPr>
          <w:tblHeader w:val="off"/>
        </w:trPr>
        <w:tc>
          <w:tcPr>
            <w:tcW w:type="dxa" w:w="1400"/>
            <w:tcMar>
              <w:top w:type="dxa" w:w="60"/>
              <w:left w:type="dxa" w:w="100"/>
              <w:bottom w:type="dxa" w:w="60"/>
              <w:right w:type="dxa" w:w="100"/>
            </w:tcMar>
          </w:tcPr>
          <w:p>
            <w:r>
              <w:rPr>
                <w:sz w:val="20"/>
                <w:szCs w:val="20"/>
              </w:rPr>
              <w:t xml:space="preserve">M57</w:t>
            </w:r>
          </w:p>
        </w:tc>
        <w:tc>
          <w:tcPr>
            <w:tcW w:type="dxa" w:w="1100"/>
            <w:tcMar>
              <w:top w:type="dxa" w:w="60"/>
              <w:left w:type="dxa" w:w="100"/>
              <w:bottom w:type="dxa" w:w="60"/>
              <w:right w:type="dxa" w:w="100"/>
            </w:tcMar>
          </w:tcPr>
          <w:p>
            <w:r>
              <w:rPr>
                <w:sz w:val="20"/>
                <w:szCs w:val="20"/>
              </w:rPr>
              <w:t xml:space="preserve">25/09</w:t>
            </w:r>
          </w:p>
        </w:tc>
        <w:tc>
          <w:tcPr>
            <w:tcW w:type="dxa" w:w="6526"/>
            <w:tcMar>
              <w:top w:type="dxa" w:w="60"/>
              <w:left w:type="dxa" w:w="100"/>
              <w:bottom w:type="dxa" w:w="60"/>
              <w:right w:type="dxa" w:w="100"/>
            </w:tcMar>
          </w:tcPr>
          <w:p>
            <w:r>
              <w:rPr>
                <w:sz w:val="20"/>
                <w:szCs w:val="20"/>
              </w:rPr>
              <w:t xml:space="preserve">Requisição HRM</w:t>
            </w:r>
          </w:p>
        </w:tc>
      </w:tr>
    </w:tbl>
    <w:p>
      <w:r>
        <w:t xml:space="preserve"/>
      </w:r>
    </w:p>
    <w:p>
      <w:pPr>
        <w:spacing w:after="120" w:before="80"/>
      </w:pPr>
      <w:r>
        <w:t xml:space="preserve">A numeração M45/M46 se repete porque dois blocos foram criados em paralelo. A ordem de execução segue o arquivo </w:t>
      </w:r>
      <w:r>
        <w:rPr>
          <w:rFonts w:ascii="Consolas" w:cs="Consolas" w:eastAsia="Consolas" w:hAnsi="Consolas"/>
          <w:sz w:val="19"/>
          <w:szCs w:val="19"/>
        </w:rPr>
        <w:t xml:space="preserve">src/lib/migrations.ts</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80"/>
        <w:sz w:val="16"/>
        <w:szCs w:val="16"/>
      </w:rPr>
      <w:t xml:space="preserve">Sistema PCP · Aços Vital · Atualizações 17/08 a 28/09/2026 · Uso interno · pág. </w:t>
    </w:r>
    <w:r>
      <w:rPr>
        <w:color w:val="5A6A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A3A5C"/>
      <w:sz w:val="40"/>
      <w:szCs w:val="40"/>
    </w:rPr>
  </w:style>
  <w:style w:type="paragraph" w:styleId="Heading1">
    <w:name w:val="Heading 1"/>
    <w:basedOn w:val="Normal"/>
    <w:next w:val="Normal"/>
    <w:qFormat/>
    <w:pPr>
      <w:pBdr>
        <w:bottom w:val="single" w:color="DDE3ED" w:sz="6" w:space="4"/>
      </w:pBdr>
      <w:spacing w:after="120" w:before="360"/>
      <w:outlineLvl w:val="0"/>
    </w:pPr>
    <w:rPr>
      <w:b/>
      <w:bCs/>
      <w:color w:val="1A3A5C"/>
      <w:sz w:val="26"/>
      <w:szCs w:val="26"/>
    </w:rPr>
  </w:style>
  <w:style w:type="paragraph" w:styleId="Heading2">
    <w:name w:val="Heading 2"/>
    <w:basedOn w:val="Normal"/>
    <w:next w:val="Normal"/>
    <w:qFormat/>
    <w:pPr>
      <w:spacing w:after="40" w:before="220"/>
      <w:outlineLvl w:val="1"/>
    </w:pPr>
    <w:rPr>
      <w:b/>
      <w:bCs/>
      <w:color w:val="2A529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Atualizações do Sistema PCP — 17/08 a 28/09/2026</dc:title>
  <dc:creator>Sistema PCP</dc:creator>
  <cp:lastModifiedBy>Un-named</cp:lastModifiedBy>
  <cp:revision>1</cp:revision>
  <dcterms:created xsi:type="dcterms:W3CDTF">2026-09-28T10:23:30.087Z</dcterms:created>
  <dcterms:modified xsi:type="dcterms:W3CDTF">2026-09-28T10:23:30.088Z</dcterms:modified>
</cp:coreProperties>
</file>

<file path=docProps/custom.xml><?xml version="1.0" encoding="utf-8"?>
<Properties xmlns="http://schemas.openxmlformats.org/officeDocument/2006/custom-properties" xmlns:vt="http://schemas.openxmlformats.org/officeDocument/2006/docPropsVTypes"/>
</file>