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32"/>
          <w:szCs w:val="32"/>
        </w:rPr>
        <w:t xml:space="preserve">SISTEMA PCP — FÁBRICA CALDEIRARIA (ARUJÁ)</w:t>
      </w:r>
    </w:p>
    <w:p>
      <w:pPr>
        <w:spacing w:after="60"/>
        <w:jc w:val="center"/>
      </w:pPr>
      <w:r>
        <w:rPr>
          <w:b/>
          <w:bCs/>
          <w:color w:val="2A5298"/>
          <w:sz w:val="26"/>
          <w:szCs w:val="26"/>
        </w:rPr>
        <w:t xml:space="preserve">Documento complementar — fábrica em implantação</w:t>
      </w:r>
    </w:p>
    <w:p>
      <w:pPr>
        <w:spacing w:after="300"/>
        <w:jc w:val="center"/>
      </w:pPr>
      <w:r>
        <w:rPr>
          <w:i/>
          <w:iCs/>
          <w:color w:val="5A6A80"/>
          <w:sz w:val="20"/>
          <w:szCs w:val="20"/>
        </w:rPr>
        <w:t xml:space="preserve">Aços Vital — complementa o Documento_Ciencia_TI_Sistema_PCP_Flange_2026-07.docx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Setor responsável</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Planejamento e Controle da Produção (PCP)</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Documento de referência</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Documento_Ciencia_TI_Sistema_PCP_Flange_2026-07.docx (governança, arquitetura técnica e assinaturas)</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Responsável pela ferramenta</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Guilherme Santos e Gabriel Ribeiro</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Data do documento</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31/07/2026</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Status da fábrica</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Em implantação — já em uso na operação, com pontos pendentes de confirmação da liderança (seção 4)</w:t>
            </w:r>
          </w:p>
        </w:tc>
      </w:tr>
      <w:tr>
        <w:tc>
          <w:tcPr>
            <w:tcW w:type="dxa" w:w="2340"/>
            <w:tcBorders>
              <w:top w:val="single" w:color="CCCCCC" w:sz="1"/>
              <w:left w:val="single" w:color="CCCCCC" w:sz="1"/>
              <w:bottom w:val="single" w:color="CCCCCC" w:sz="1"/>
              <w:right w:val="single" w:color="CCCCCC" w:sz="1"/>
            </w:tcBorders>
            <w:shd w:fill="E8F0FB" w:val="clear"/>
            <w:tcMar>
              <w:top w:type="dxa" w:w="100"/>
              <w:left w:type="dxa" w:w="120"/>
              <w:bottom w:type="dxa" w:w="100"/>
              <w:right w:type="dxa" w:w="120"/>
            </w:tcMar>
          </w:tcPr>
          <w:p>
            <w:r>
              <w:rPr>
                <w:b/>
                <w:bCs/>
              </w:rPr>
              <w:t xml:space="preserve">Partes cientes</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TI, Gerência, Diretoria e Coordenação do PCP</w:t>
            </w:r>
          </w:p>
        </w:tc>
      </w:tr>
    </w:tbl>
    <w:p>
      <w:pPr>
        <w:spacing w:before="300"/>
      </w:pPr>
    </w:p>
    <w:p>
      <w:pPr>
        <w:pStyle w:val="Heading1"/>
      </w:pPr>
      <w:r>
        <w:t xml:space="preserve">1. Sobre este documento</w:t>
      </w:r>
    </w:p>
    <w:p>
      <w:pPr>
        <w:spacing w:after="160"/>
      </w:pPr>
      <w:r>
        <w:t xml:space="preserve">Este documento complementa o Documento_Ciencia_TI_Sistema_PCP_Flange_2026-07.docx, que registra a governança, o enquadramento na Política de Governança de Uso de IA e Criação de Ferramentas, a arquitetura técnica e as assinaturas de ciência entre TI, Gerência, Diretoria e Coordenação do PCP. Todo esse conteúdo — mesmo sistema, mesmo banco de dados, mesma hospedagem — vale igualmente para a Caldeiraria e não é repetido aqui.</w:t>
      </w:r>
    </w:p>
    <w:p>
      <w:pPr>
        <w:spacing w:after="160"/>
      </w:pPr>
      <w:r>
        <w:t xml:space="preserve">Este documento é específico para detalhar o que já funciona e o que ainda está pendente na fábrica Caldeiraria (Arujá), que está em implantação e sujeita a mudanças mais frequentes que o Flange — daí a opção por um documento próprio, atualizado com mais frequência.</w:t>
      </w:r>
    </w:p>
    <w:p>
      <w:pPr>
        <w:pStyle w:val="Heading1"/>
      </w:pPr>
      <w:r>
        <w:t xml:space="preserve">2. Status da fábrica</w:t>
      </w:r>
    </w:p>
    <w:p>
      <w:pPr>
        <w:spacing w:after="160"/>
      </w:pPr>
      <w:r>
        <w:t xml:space="preserve">A Caldeiraria (Arujá) está em implantação desde julho de 2026. Já opera dentro do Sistema PCP — recebendo, produzindo e movimentando pedidos — mas ainda tem regras de comportamento pendentes de confirmação da liderança da fábrica, listadas na seção 4. Enquanto essas regras não são confirmadas, elas não são implementadas no sistema, para evitar travar o fluxo real com uma regra ainda não validada.</w:t>
      </w:r>
    </w:p>
    <w:p>
      <w:pPr>
        <w:pStyle w:val="Heading1"/>
      </w:pPr>
      <w:r>
        <w:t xml:space="preserve">3. O que a Caldeiraria faz hoje</w:t>
      </w:r>
    </w:p>
    <w:p>
      <w:pPr>
        <w:pStyle w:val="ListParagraph"/>
        <w:numPr>
          <w:ilvl w:val="0"/>
          <w:numId w:val="2"/>
        </w:numPr>
        <w:spacing w:after="100"/>
      </w:pPr>
      <w:r>
        <w:rPr>
          <w:b/>
          <w:bCs/>
        </w:rPr>
        <w:t xml:space="preserve">Fábrica própria por item: </w:t>
      </w:r>
      <w:r>
        <w:t xml:space="preserve">setores próprios (Desenho, Compras/intake, Recebimento, Chanfradeira, Calandra, Montagem, Solda, Acabamento, Qualidade/Inspeção, Liberado e Pintura), opcionais e reordenáveis por item. Um mesmo pedido pode ter itens na Caldeiraria e no Flange ao mesmo tempo — a fábrica é escolhida item a item, não no pedido inteiro.</w:t>
      </w:r>
    </w:p>
    <w:p>
      <w:pPr>
        <w:pStyle w:val="ListParagraph"/>
        <w:numPr>
          <w:ilvl w:val="0"/>
          <w:numId w:val="2"/>
        </w:numPr>
        <w:spacing w:after="100"/>
      </w:pPr>
      <w:r>
        <w:rPr>
          <w:b/>
          <w:bCs/>
        </w:rPr>
        <w:t xml:space="preserve">Fluxo por tipo de produto: </w:t>
      </w:r>
      <w:r>
        <w:t xml:space="preserve">Tubos seguem Corte → Chanfradeira → Calandra → Montagem → Solda → Acabamento → Pintura; Estruturas e suportes seguem Corte → Montagem → Solda → Acabamento → Inspeção → Pintura (pulam Chanfradeira e Calandra).</w:t>
      </w:r>
    </w:p>
    <w:p>
      <w:pPr>
        <w:pStyle w:val="ListParagraph"/>
        <w:numPr>
          <w:ilvl w:val="0"/>
          <w:numId w:val="2"/>
        </w:numPr>
        <w:spacing w:after="100"/>
      </w:pPr>
      <w:r>
        <w:rPr>
          <w:b/>
          <w:bCs/>
        </w:rPr>
        <w:t xml:space="preserve">Três formas de entrada: </w:t>
      </w:r>
      <w:r>
        <w:t xml:space="preserve">pedido novo nascido diretamente na Caldeiraria; item avulso adicionado a um pedido de Flange já existente; e item transferido do Flange que passa a seguir o roteiro da Caldeiraria.</w:t>
      </w:r>
    </w:p>
    <w:p>
      <w:pPr>
        <w:pStyle w:val="ListParagraph"/>
        <w:numPr>
          <w:ilvl w:val="0"/>
          <w:numId w:val="2"/>
        </w:numPr>
        <w:spacing w:after="100"/>
      </w:pPr>
      <w:r>
        <w:rPr>
          <w:b/>
          <w:bCs/>
        </w:rPr>
        <w:t xml:space="preserve">Saídas já implementadas: </w:t>
      </w:r>
      <w:r>
        <w:t xml:space="preserve">voltar para o Flange ou seguir para a Logística. A entrega direta ao cliente pela própria Caldeiraria ainda não está implementada — depende das pendências da seção 4.</w:t>
      </w:r>
    </w:p>
    <w:p>
      <w:pPr>
        <w:pStyle w:val="ListParagraph"/>
        <w:numPr>
          <w:ilvl w:val="0"/>
          <w:numId w:val="2"/>
        </w:numPr>
        <w:spacing w:after="100"/>
      </w:pPr>
      <w:r>
        <w:rPr>
          <w:b/>
          <w:bCs/>
        </w:rPr>
        <w:t xml:space="preserve">Checklist de conferência no Recebimento: </w:t>
      </w:r>
      <w:r>
        <w:t xml:space="preserve">5 itens (Ordem de Produção, Desenho técnico, Pedido de Venda, material sem avaria visível, quantidade confere), cada um marcado como Confere / Não confere / Não se aplica. Qualquer item "Não confere" cai automaticamente na tela de divergência já existente, sem travar o recebimento do material.</w:t>
      </w:r>
    </w:p>
    <w:p>
      <w:pPr>
        <w:pStyle w:val="ListParagraph"/>
        <w:numPr>
          <w:ilvl w:val="0"/>
          <w:numId w:val="2"/>
        </w:numPr>
        <w:spacing w:after="100"/>
      </w:pPr>
      <w:r>
        <w:rPr>
          <w:b/>
          <w:bCs/>
        </w:rPr>
        <w:t xml:space="preserve">Checklist de processo por etapa: </w:t>
      </w:r>
      <w:r>
        <w:t xml:space="preserve">parametrizado por tipo de produto, complementando o checklist do Recebimento.</w:t>
      </w:r>
    </w:p>
    <w:p>
      <w:pPr>
        <w:pStyle w:val="ListParagraph"/>
        <w:numPr>
          <w:ilvl w:val="0"/>
          <w:numId w:val="2"/>
        </w:numPr>
        <w:spacing w:after="100"/>
      </w:pPr>
      <w:r>
        <w:rPr>
          <w:b/>
          <w:bCs/>
        </w:rPr>
        <w:t xml:space="preserve">Sub-itens (receita) para produtos compostos: </w:t>
      </w:r>
      <w:r>
        <w:t xml:space="preserve">a função "Montar Receita" cria cada componente individualmente, com anexo próprio, e mantém os componentes já criados ao reabrir a tela.</w:t>
      </w:r>
    </w:p>
    <w:p>
      <w:pPr>
        <w:pStyle w:val="ListParagraph"/>
        <w:numPr>
          <w:ilvl w:val="0"/>
          <w:numId w:val="2"/>
        </w:numPr>
        <w:spacing w:after="100"/>
      </w:pPr>
      <w:r>
        <w:rPr>
          <w:b/>
          <w:bCs/>
        </w:rPr>
        <w:t xml:space="preserve">Divergências em aba própria: </w:t>
      </w:r>
      <w:r>
        <w:t xml:space="preserve">o painel de divergências do PCP/Admin tem abas Todas / Flanges / Caldeiraria, evitando misturar as duas fábricas na visão gerencial.</w:t>
      </w:r>
    </w:p>
    <w:p>
      <w:pPr>
        <w:pStyle w:val="ListParagraph"/>
        <w:numPr>
          <w:ilvl w:val="0"/>
          <w:numId w:val="2"/>
        </w:numPr>
        <w:spacing w:after="100"/>
      </w:pPr>
      <w:r>
        <w:rPr>
          <w:b/>
          <w:bCs/>
        </w:rPr>
        <w:t xml:space="preserve">Kanban próprio: </w:t>
      </w:r>
      <w:r>
        <w:t xml:space="preserve">separado do kanban do Flange.</w:t>
      </w:r>
    </w:p>
    <w:p>
      <w:pPr>
        <w:pStyle w:val="ListParagraph"/>
        <w:numPr>
          <w:ilvl w:val="0"/>
          <w:numId w:val="2"/>
        </w:numPr>
        <w:spacing w:after="100"/>
      </w:pPr>
      <w:r>
        <w:rPr>
          <w:b/>
          <w:bCs/>
        </w:rPr>
        <w:t xml:space="preserve">Cortes compartilhados com o Flange: </w:t>
      </w:r>
      <w:r>
        <w:t xml:space="preserve">os setores de corte (Maçarico, Plasma, Laser e Serra) atendem as duas fábricas — depois de cortar, o operador escolhe se a peça segue para o Flange ou para a Caldeiraria.</w:t>
      </w:r>
    </w:p>
    <w:p>
      <w:pPr>
        <w:pStyle w:val="ListParagraph"/>
        <w:numPr>
          <w:ilvl w:val="0"/>
          <w:numId w:val="2"/>
        </w:numPr>
        <w:spacing w:after="100"/>
      </w:pPr>
      <w:r>
        <w:rPr>
          <w:b/>
          <w:bCs/>
        </w:rPr>
        <w:t xml:space="preserve">Devolução para a Usinagem: </w:t>
      </w:r>
      <w:r>
        <w:t xml:space="preserve">liberada como destino de devolução de itens da Caldeiraria.</w:t>
      </w:r>
    </w:p>
    <w:p>
      <w:pPr>
        <w:pStyle w:val="Heading1"/>
      </w:pPr>
      <w:r>
        <w:t xml:space="preserve">4. Pendências conhecidas (aguardando confirmação da liderança)</w:t>
      </w:r>
    </w:p>
    <w:p>
      <w:pPr>
        <w:spacing w:after="160"/>
      </w:pPr>
      <w:r>
        <w:t xml:space="preserve">Pontos que dependem da confirmação da liderança da Caldeiraria (Eduardo, Arujá) antes de serem implementados — registrados para ciência, não são falhas do sistema:</w:t>
      </w:r>
    </w:p>
    <w:p>
      <w:pPr>
        <w:pStyle w:val="ListParagraph"/>
        <w:numPr>
          <w:ilvl w:val="0"/>
          <w:numId w:val="2"/>
        </w:numPr>
        <w:spacing w:after="100"/>
      </w:pPr>
      <w:r>
        <w:t xml:space="preserve">Em quais etapas um item pode ser considerado terminado — voltar para o Flange, seguir para a Logística, ou entrega direta ao cliente pela própria Caldeiraria — e as regras gerais de comportamento por setor (receber, iniciar item do zero, avançar ou finalizar, devolver) ainda não estão implementadas para a Caldeiraria.</w:t>
      </w:r>
    </w:p>
    <w:p>
      <w:pPr>
        <w:pStyle w:val="ListParagraph"/>
        <w:numPr>
          <w:ilvl w:val="0"/>
          <w:numId w:val="2"/>
        </w:numPr>
        <w:spacing w:after="100"/>
      </w:pPr>
      <w:r>
        <w:t xml:space="preserve">Se a ordem entre as etapas pode variar livremente por item ou se existe alguma sequência proibida.</w:t>
      </w:r>
    </w:p>
    <w:p>
      <w:pPr>
        <w:pStyle w:val="ListParagraph"/>
        <w:numPr>
          <w:ilvl w:val="0"/>
          <w:numId w:val="2"/>
        </w:numPr>
        <w:spacing w:after="100"/>
      </w:pPr>
      <w:r>
        <w:t xml:space="preserve">Como registrar no sistema uma etapa terceirizada (executada fora da empresa).</w:t>
      </w:r>
    </w:p>
    <w:p>
      <w:pPr>
        <w:spacing w:after="160"/>
      </w:pPr>
      <w:r>
        <w:t xml:space="preserve">Essas três pendências dependem do retorno completo do questionário de processo enviado à liderança da Caldeiraria (docs/Questionario_Caldeiraria_2026-07.docx) e não serão implementadas antes dessa confirmação.</w:t>
      </w:r>
    </w:p>
    <w:p>
      <w:pPr>
        <w:pStyle w:val="Heading1"/>
      </w:pPr>
      <w:r>
        <w:t xml:space="preserve">5. Novidades recentes (27–31/07/2026)</w:t>
      </w:r>
    </w:p>
    <w:p>
      <w:pPr>
        <w:spacing w:after="160"/>
      </w:pPr>
      <w:r>
        <w:t xml:space="preserve">Resumo das evoluções aplicadas à Caldeiraria desde sua implantação, a título de registro:</w:t>
      </w:r>
    </w:p>
    <w:p>
      <w:pPr>
        <w:pStyle w:val="ListParagraph"/>
        <w:numPr>
          <w:ilvl w:val="0"/>
          <w:numId w:val="2"/>
        </w:numPr>
        <w:spacing w:after="100"/>
      </w:pPr>
      <w:r>
        <w:t xml:space="preserve">Implantação da fábrica com setores próprios e roteiro por tipo de produto; kanban separado do Flange; seleção de fábrica na emissão, no corte e na edição do pedido, definida por item.</w:t>
      </w:r>
    </w:p>
    <w:p>
      <w:pPr>
        <w:pStyle w:val="ListParagraph"/>
        <w:numPr>
          <w:ilvl w:val="0"/>
          <w:numId w:val="2"/>
        </w:numPr>
        <w:spacing w:after="100"/>
      </w:pPr>
      <w:r>
        <w:t xml:space="preserve">Checklist de conferência no Recebimento (27/07).</w:t>
      </w:r>
    </w:p>
    <w:p>
      <w:pPr>
        <w:pStyle w:val="ListParagraph"/>
        <w:numPr>
          <w:ilvl w:val="0"/>
          <w:numId w:val="2"/>
        </w:numPr>
        <w:spacing w:after="100"/>
      </w:pPr>
      <w:r>
        <w:t xml:space="preserve">Divergências separadas por fábrica no painel do PCP/Admin (27/07).</w:t>
      </w:r>
    </w:p>
    <w:p>
      <w:pPr>
        <w:pStyle w:val="ListParagraph"/>
        <w:numPr>
          <w:ilvl w:val="0"/>
          <w:numId w:val="2"/>
        </w:numPr>
        <w:spacing w:after="100"/>
      </w:pPr>
      <w:r>
        <w:t xml:space="preserve">Sub-itens (receita) para produtos compostos, com "Montar Receita" criando componente por componente com anexo próprio (28/07–29/07).</w:t>
      </w:r>
    </w:p>
    <w:p>
      <w:pPr>
        <w:pStyle w:val="ListParagraph"/>
        <w:numPr>
          <w:ilvl w:val="0"/>
          <w:numId w:val="2"/>
        </w:numPr>
        <w:spacing w:after="100"/>
      </w:pPr>
      <w:r>
        <w:t xml:space="preserve">Checklist de processo por etapa, parametrizado por tipo de produto (29/07).</w:t>
      </w:r>
    </w:p>
    <w:p>
      <w:pPr>
        <w:pStyle w:val="ListParagraph"/>
        <w:numPr>
          <w:ilvl w:val="0"/>
          <w:numId w:val="2"/>
        </w:numPr>
        <w:spacing w:after="100"/>
      </w:pPr>
      <w:r>
        <w:t xml:space="preserve">Devolução para a Usinagem liberada como destino de itens da Caldeiraria (30/07).</w:t>
      </w:r>
    </w:p>
    <w:p>
      <w:pPr>
        <w:pStyle w:val="Heading1"/>
      </w:pPr>
      <w:r>
        <w:t xml:space="preserve">6. Observação final</w:t>
      </w:r>
    </w:p>
    <w:p>
      <w:pPr>
        <w:spacing w:after="160"/>
      </w:pPr>
      <w:r>
        <w:t xml:space="preserve">A governança, a responsabilidade sobre desenvolvimento e manutenção, a arquitetura técnica e a ciência formal entre TI, Gerência, Diretoria e Coordenação do PCP seguem exclusivamente as assinaturas registradas no Documento_Ciencia_TI_Sistema_PCP_Flange_2026-07.docx — este documento não tem tabela de assinatura própria.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A52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2026-07-08T17:33:35.136Z</dcterms:created>
  <dcterms:modified xsi:type="dcterms:W3CDTF">2026-07-08T17:33:35.138Z</dcterms:modified>
</cp:coreProperties>
</file>

<file path=docProps/custom.xml><?xml version="1.0" encoding="utf-8"?>
<Properties xmlns="http://schemas.openxmlformats.org/officeDocument/2006/custom-properties" xmlns:vt="http://schemas.openxmlformats.org/officeDocument/2006/docPropsVTypes"/>
</file>