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>
        <w:rPr>
          <w:b w:val="1"/>
          <w:bCs w:val="1"/>
          <w:color w:val="6b6b6b"/>
          <w:sz w:val="16"/>
          <w:szCs w:val="16"/>
          <w:rtl w:val="0"/>
        </w:rPr>
        <w:t xml:space="preserve">RELATÓRIO ANALÍTICO · ANÁLISE EXPLORATÓRIA DE DADOS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>
        <w:rPr>
          <w:b w:val="1"/>
          <w:bCs w:val="1"/>
          <w:color w:val="1a1a1a"/>
          <w:sz w:val="40"/>
          <w:szCs w:val="40"/>
          <w:rtl w:val="0"/>
        </w:rPr>
        <w:t xml:space="preserve">Análise de Acidentes PRF — 2025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r>
        <w:rPr>
          <w:color w:val="6b6b6b"/>
          <w:sz w:val="21"/>
          <w:szCs w:val="21"/>
          <w:rtl w:val="0"/>
        </w:rPr>
        <w:t xml:space="preserve">Análise de Acidentes Fatais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jc w:val="center"/>
        <w:rPr/>
      </w:pPr>
      <w:r>
        <w:rPr>
          <w:color w:val="6b6b6b"/>
          <w:sz w:val="21"/>
          <w:szCs w:val="21"/>
          <w:rtl w:val="0"/>
        </w:rPr>
        <w:t xml:space="preserve">Base de dados PRF 2025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>
        <w:rPr>
          <w:color w:val="6b6b6b"/>
          <w:sz w:val="17"/>
          <w:szCs w:val="17"/>
          <w:rtl w:val="0"/>
        </w:rPr>
        <w:t xml:space="preserve">Variável-alvo: </w:t>
      </w:r>
      <w:r>
        <w:rPr>
          <w:b w:val="1"/>
          <w:bCs w:val="1"/>
          <w:color w:val="6b6b6b"/>
          <w:sz w:val="17"/>
          <w:szCs w:val="17"/>
          <w:rtl w:val="0"/>
        </w:rPr>
        <w:t xml:space="preserve">Acidentes Fatais</w:t>
      </w:r>
      <w:r>
        <w:rPr>
          <w:color w:val="6b6b6b"/>
          <w:sz w:val="17"/>
          <w:szCs w:val="17"/>
          <w:rtl w:val="0"/>
        </w:rPr>
        <w:t xml:space="preserve"> |  Período: 01/01/2025 a 31/12/2025 |  72530 Registros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>
        <w:rPr>
          <w:color w:val="6b6b6b"/>
          <w:sz w:val="17"/>
          <w:szCs w:val="17"/>
          <w:rtl w:val="0"/>
        </w:rPr>
        <w:t xml:space="preserve">Elaborado para: Guilherme Fernando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1"/>
        <w:pBdr>
          <w:bottom w:color="1f5c99" w:space="0" w:sz="8" w:val="single"/>
        </w:pBdr>
        <w:spacing w:after="200" w:before="420" w:lineRule="auto"/>
        <w:rPr/>
      </w:pPr>
      <w:r>
        <w:rPr>
          <w:b w:val="1"/>
          <w:bCs w:val="1"/>
          <w:color w:val="1a1a1a"/>
          <w:sz w:val="29"/>
          <w:szCs w:val="29"/>
          <w:rtl w:val="0"/>
        </w:rPr>
        <w:t xml:space="preserve">1. Sumário executivo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80" w:line="280" w:lineRule="auto"/>
        <w:rPr/>
      </w:pPr>
      <w:r>
        <w:rPr>
          <w:b w:val="1"/>
          <w:bCs w:val="1"/>
          <w:i w:val="1"/>
          <w:iCs w:val="1"/>
          <w:color w:val="6b6b6b"/>
          <w:sz w:val="19"/>
          <w:szCs w:val="19"/>
          <w:rtl w:val="0"/>
        </w:rPr>
        <w:t xml:space="preserve">Instrução do modelo: </w:t>
      </w:r>
      <w:r>
        <w:rPr>
          <w:i w:val="1"/>
          <w:iCs w:val="1"/>
          <w:color w:val="6b6b6b"/>
          <w:sz w:val="19"/>
          <w:szCs w:val="19"/>
          <w:rtl w:val="0"/>
        </w:rPr>
        <w:t xml:space="preserve">resuma em um parágrafo o volume geral, o indicador-alvo e o achado mais importante do relatório, no mesmo estilo direto e numérico usado abaixo.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180" w:line="300" w:lineRule="auto"/>
        <w:jc w:val="both"/>
        <w:rPr/>
      </w:pPr>
      <w:r>
        <w:rPr>
          <w:rtl w:val="0"/>
        </w:rPr>
        <w:t xml:space="preserve">Em 2025, a base registrou 72529 acidentes em rodovias. Desse total, </w:t>
      </w:r>
      <w:r>
        <w:rPr>
          <w:b w:val="1"/>
          <w:bCs w:val="1"/>
          <w:rtl w:val="0"/>
        </w:rPr>
        <w:t xml:space="preserve">5210</w:t>
      </w:r>
      <w:r>
        <w:rPr>
          <w:rtl w:val="0"/>
        </w:rPr>
        <w:t xml:space="preserve"> tiveram acidentes fatais, somando </w:t>
      </w:r>
      <w:r>
        <w:rPr>
          <w:b w:val="1"/>
          <w:bCs w:val="1"/>
          <w:rtl w:val="0"/>
        </w:rPr>
        <w:t xml:space="preserve">83550</w:t>
      </w:r>
      <w:r>
        <w:rPr>
          <w:rtl w:val="0"/>
        </w:rPr>
        <w:t xml:space="preserve"> — uma taxa de </w:t>
      </w:r>
      <w:r>
        <w:rPr>
          <w:b w:val="1"/>
          <w:bCs w:val="1"/>
          <w:rtl w:val="0"/>
        </w:rPr>
        <w:t xml:space="preserve">16,03 a cada 100 acidentes fatais</w:t>
      </w:r>
      <w:r>
        <w:rPr>
          <w:rFonts w:ascii="Arial Unicode MS" w:cs="Arial Unicode MS" w:eastAsia="Arial Unicode MS" w:hAnsi="Arial Unicode MS"/>
          <w:rtl w:val="0"/>
        </w:rPr>
        <w:t xml:space="preserve">. Este relatório aplica o roteiro de EDA (indicadores → rankings/séries → análise bivariada com o alvo → combinações de fatores → síntese de hipóteses), tratando a variável-alvo como acidentes fatais</w:t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2265"/>
        <w:gridCol w:w="2265"/>
        <w:gridCol w:w="2265"/>
        <w:tblGridChange w:id="0">
          <w:tblGrid>
            <w:gridCol w:w="2265"/>
            <w:gridCol w:w="2265"/>
            <w:gridCol w:w="2265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4f4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>
              <w:rPr>
                <w:b w:val="1"/>
                <w:bCs w:val="1"/>
                <w:color w:val="6b6b6b"/>
                <w:sz w:val="15"/>
                <w:szCs w:val="15"/>
                <w:rtl w:val="0"/>
              </w:rPr>
              <w:t xml:space="preserve">TOTAL DE REGISTROS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Rule="auto"/>
              <w:rPr>
                <w:b w:val="1"/>
                <w:bCs w:val="1"/>
                <w:color w:val="000000"/>
                <w:sz w:val="30"/>
                <w:szCs w:val="30"/>
              </w:rPr>
            </w:pPr>
            <w:r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72529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4f4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>
              <w:rPr>
                <w:b w:val="1"/>
                <w:bCs w:val="1"/>
                <w:color w:val="6b6b6b"/>
                <w:sz w:val="15"/>
                <w:szCs w:val="15"/>
                <w:rtl w:val="0"/>
              </w:rPr>
              <w:t xml:space="preserve">EVENTOS-ALVO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>
              <w:rPr>
                <w:b w:val="1"/>
                <w:bCs w:val="1"/>
                <w:color w:val="b7291e"/>
                <w:sz w:val="30"/>
                <w:szCs w:val="30"/>
                <w:rtl w:val="0"/>
              </w:rPr>
              <w:t xml:space="preserve">5210 (</w:t>
            </w:r>
            <w:r>
              <w:rPr>
                <w:b w:val="1"/>
                <w:bCs w:val="1"/>
                <w:color w:val="b02f23"/>
                <w:sz w:val="28"/>
                <w:szCs w:val="28"/>
                <w:shd w:fill="f4f4f4" w:val="clear"/>
                <w:rtl w:val="0"/>
              </w:rPr>
              <w:t xml:space="preserve">7,18%</w:t>
            </w:r>
            <w:r>
              <w:rPr>
                <w:b w:val="1"/>
                <w:bCs w:val="1"/>
                <w:color w:val="b7291e"/>
                <w:sz w:val="30"/>
                <w:szCs w:val="30"/>
                <w:rtl w:val="0"/>
              </w:rPr>
              <w:t xml:space="preserve">)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4f4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80" w:lineRule="auto"/>
              <w:rPr>
                <w:b w:val="1"/>
                <w:bCs w:val="1"/>
              </w:rPr>
            </w:pPr>
            <w:r>
              <w:rPr>
                <w:b w:val="1"/>
                <w:bCs w:val="1"/>
                <w:color w:val="6b6b6b"/>
                <w:sz w:val="15"/>
                <w:szCs w:val="15"/>
                <w:rtl w:val="0"/>
              </w:rPr>
              <w:t xml:space="preserve">FERIDOS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>
              <w:rPr>
                <w:b w:val="1"/>
                <w:bCs w:val="1"/>
                <w:color w:val="1a1a1a"/>
                <w:sz w:val="30"/>
                <w:szCs w:val="30"/>
                <w:rtl w:val="0"/>
              </w:rPr>
              <w:t xml:space="preserve">83550</w:t>
            </w:r>
            <w:r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4f4" w:val="clear"/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>
              <w:rPr>
                <w:b w:val="1"/>
                <w:bCs w:val="1"/>
                <w:color w:val="6b6b6b"/>
                <w:sz w:val="15"/>
                <w:szCs w:val="15"/>
                <w:rtl w:val="0"/>
              </w:rPr>
              <w:t xml:space="preserve">TAXA / 100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>
              <w:rPr>
                <w:b w:val="1"/>
                <w:bCs w:val="1"/>
                <w:color w:val="1f5c99"/>
                <w:sz w:val="28"/>
                <w:szCs w:val="28"/>
                <w:rtl w:val="0"/>
              </w:rPr>
              <w:t xml:space="preserve">16,03%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4f4f4" w:val="clear"/>
        <w:spacing w:after="160" w:before="160" w:line="280" w:lineRule="auto"/>
        <w:ind w:left="200" w:right="200" w:firstLine="0"/>
        <w:rPr/>
      </w:pPr>
      <w:r>
        <w:rPr>
          <w:b w:val="1"/>
          <w:bCs w:val="1"/>
          <w:sz w:val="19"/>
          <w:szCs w:val="19"/>
          <w:rtl w:val="0"/>
        </w:rPr>
        <w:t xml:space="preserve">Achado central: </w:t>
      </w:r>
      <w:r>
        <w:rPr>
          <w:sz w:val="19"/>
          <w:szCs w:val="19"/>
          <w:rtl w:val="0"/>
        </w:rPr>
        <w:t xml:space="preserve">O alto volume total de acidentes mascara a real gravidade das rodovias, pois as ocorrências fatais seguem um padrão isolado e de alta severidade que exige intervenções específicas, e não generalistas. 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1f5c99" w:space="0" w:sz="8" w:val="single"/>
        </w:pBdr>
        <w:spacing w:after="200" w:before="420" w:lineRule="auto"/>
        <w:rPr/>
      </w:pPr>
      <w:r>
        <w:rPr>
          <w:b w:val="1"/>
          <w:bCs w:val="1"/>
          <w:color w:val="1a1a1a"/>
          <w:sz w:val="29"/>
          <w:szCs w:val="29"/>
          <w:rtl w:val="0"/>
        </w:rPr>
        <w:t xml:space="preserve">2. Estatística descritiva e indicadores globais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180" w:line="300" w:lineRule="auto"/>
        <w:jc w:val="both"/>
        <w:rPr/>
      </w:pPr>
      <w:r>
        <w:rPr>
          <w:rtl w:val="0"/>
        </w:rPr>
        <w:t xml:space="preserve">A tabela abaixo consolida os indicadores globais da base — o ponto de partida para qualquer leitura segmentada nas seções seguintes.</w:t>
      </w:r>
    </w:p>
    <w:tbl>
      <w:tblPr>
        <w:tblStyle w:val="Table2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1860"/>
        <w:tblGridChange w:id="0">
          <w:tblGrid>
            <w:gridCol w:w="72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Indicador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sz w:val="18"/>
                <w:szCs w:val="18"/>
                <w:rtl w:val="0"/>
              </w:rPr>
              <w:t xml:space="preserve">Total de registros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72.529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sz w:val="18"/>
                <w:szCs w:val="18"/>
                <w:rtl w:val="0"/>
              </w:rPr>
              <w:t xml:space="preserve">Total de eventos-alvo (acidentes com vítimas fatais)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5.210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sz w:val="18"/>
                <w:szCs w:val="18"/>
                <w:rtl w:val="0"/>
              </w:rPr>
              <w:t xml:space="preserve">% de eventos-alvo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7,18%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>
              <w:rPr>
                <w:sz w:val="18"/>
                <w:szCs w:val="18"/>
                <w:rtl w:val="0"/>
              </w:rPr>
              <w:t xml:space="preserve">Total de óbitos (mortos)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6.043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>
              <w:rPr>
                <w:sz w:val="18"/>
                <w:szCs w:val="18"/>
                <w:rtl w:val="0"/>
              </w:rPr>
              <w:t xml:space="preserve">Total de veículos envolvidos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144.922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sz w:val="18"/>
                <w:szCs w:val="18"/>
                <w:rtl w:val="0"/>
              </w:rPr>
              <w:t xml:space="preserve">Média de pessoas envolvidas por registro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2,60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80" w:line="300" w:lineRule="auto"/>
        <w:jc w:val="both"/>
        <w:rPr/>
      </w:pPr>
      <w:r>
        <w:rPr>
          <w:rtl w:val="0"/>
        </w:rPr>
        <w:t xml:space="preserve">As variáveis de contagem (mortos, feridos, veículos) são fortemente assimétricas à direita: a grande maioria dos registros tem 0 ou 1 vítima fatal, enquanto poucos casos concentram vários óbitos, o que infla a média em relação à mediana. Por isso a análise a seguir prioriza proporções (% de eventos-alvo por grupo) e comparações relativas à taxa global, em vez de médias simples, que seriam distorcidas por esses outliers.</w:t>
      </w:r>
    </w:p>
    <w:p w:rsidR="00000000" w:rsidDel="00000000" w:rsidP="00000000" w:rsidRDefault="00000000" w:rsidRPr="00000000" w14:paraId="00000027">
      <w:pPr>
        <w:pStyle w:val="Heading1"/>
        <w:pBdr>
          <w:bottom w:color="1f5c99" w:space="0" w:sz="8" w:val="single"/>
        </w:pBdr>
        <w:spacing w:after="200" w:before="420" w:lineRule="auto"/>
        <w:rPr/>
      </w:pPr>
      <w:r>
        <w:rPr>
          <w:b w:val="1"/>
          <w:bCs w:val="1"/>
          <w:color w:val="1a1a1a"/>
          <w:sz w:val="29"/>
          <w:szCs w:val="29"/>
          <w:rtl w:val="0"/>
        </w:rPr>
        <w:t xml:space="preserve">3. Rankings — onde os eventos acontecem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3.1 Por Unidade da Federação (UF)</w:t>
      </w:r>
      <w:r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800"/>
        <w:gridCol w:w="3260"/>
        <w:tblGridChange w:id="0">
          <w:tblGrid>
            <w:gridCol w:w="5800"/>
            <w:gridCol w:w="3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  <w:tbl>
            <w:tblPr>
              <w:tblStyle w:val="Table4"/>
              <w:tblW w:w="5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400"/>
              <w:gridCol w:w="1500"/>
              <w:gridCol w:w="1500"/>
              <w:tblGridChange w:id="0">
                <w:tblGrid>
                  <w:gridCol w:w="2400"/>
                  <w:gridCol w:w="1500"/>
                  <w:gridCol w:w="15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2A">
                  <w:pPr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UF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2B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Registros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2C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% do total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2D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MG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2E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9.570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2F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13,19%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0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SC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1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8.186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2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11,29%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3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PR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4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7.630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5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10,52%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6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RJ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7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6.428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38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8,86%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eff4fb" w:space="0" w:sz="4" w:val="single"/>
                <w:left w:color="1f5c99" w:space="0" w:sz="28" w:val="single"/>
                <w:bottom w:color="eff4fb" w:space="0" w:sz="4" w:val="single"/>
                <w:right w:color="eff4fb" w:space="0" w:sz="4" w:val="single"/>
              </w:pBdr>
              <w:shd w:fill="eff4fb" w:val="clear"/>
              <w:spacing w:after="160" w:before="160" w:line="280" w:lineRule="auto"/>
              <w:ind w:left="200" w:right="200" w:firstLine="0"/>
              <w:jc w:val="both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Leitura: </w:t>
            </w:r>
            <w:r>
              <w:rPr>
                <w:sz w:val="19"/>
                <w:szCs w:val="19"/>
                <w:rtl w:val="0"/>
              </w:rPr>
              <w:t xml:space="preserve">Minas Gerais (MG) concentra o maior volume absoluto (13,2% dos registros), seguido por Santa Catarina (SC) e Paraná (PR). Volume e proporção do alvo contam histórias diferentes: como se vê na seção 3.2, estados com volume bem menor têm % de acidentes fatais muito mais alta que os líderes em volume.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3.2 Por unidade regional da PRF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pacing w:after="180" w:line="300" w:lineRule="auto"/>
        <w:jc w:val="both"/>
        <w:rPr/>
      </w:pPr>
      <w:r>
        <w:rPr>
          <w:rtl w:val="0"/>
        </w:rPr>
        <w:t xml:space="preserve">As superintendências regionais do Norte e Nordeste, como Maranhão (SPRF-MA) e Pará (SPRF-PA), são proporcionalmente mais associadas ao indicador-alvo (aplicado um filtro mínimo de 500 registros para evitar percentuais instáveis em regionais pequenas):</w:t>
      </w:r>
    </w:p>
    <w:tbl>
      <w:tblPr>
        <w:tblStyle w:val="Table5"/>
        <w:tblW w:w="9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  <w:tbl>
            <w:tblPr>
              <w:tblStyle w:val="Table6"/>
              <w:tblW w:w="4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50"/>
              <w:gridCol w:w="1450"/>
              <w:gridCol w:w="1000"/>
              <w:tblGridChange w:id="0">
                <w:tblGrid>
                  <w:gridCol w:w="1850"/>
                  <w:gridCol w:w="1450"/>
                  <w:gridCol w:w="10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3F">
                  <w:pPr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Regional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40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Registros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41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% alvo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SPRF-MG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3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9.554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4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6,75%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5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SPRF-SC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6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8.221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7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4,56%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8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SPRF-PR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9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7.586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4A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6,72%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  <w:tbl>
            <w:tblPr>
              <w:tblStyle w:val="Table7"/>
              <w:tblW w:w="4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50"/>
              <w:gridCol w:w="1450"/>
              <w:gridCol w:w="1000"/>
              <w:tblGridChange w:id="0">
                <w:tblGrid>
                  <w:gridCol w:w="1850"/>
                  <w:gridCol w:w="1450"/>
                  <w:gridCol w:w="10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4D">
                  <w:pPr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Regional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4E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Registros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4F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% alvo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0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SPRF-MA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1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1.230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2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18,86%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3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SPRF-PA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4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1.070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5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17,48%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6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SPRF-AL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7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614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58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13,84%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fbeaea" w:space="0" w:sz="4" w:val="single"/>
          <w:left w:color="b7291e" w:space="0" w:sz="28" w:val="single"/>
          <w:bottom w:color="fbeaea" w:space="0" w:sz="4" w:val="single"/>
          <w:right w:color="fbeaea" w:space="0" w:sz="4" w:val="single"/>
        </w:pBdr>
        <w:shd w:fill="fbeaea" w:val="clear"/>
        <w:spacing w:after="160" w:before="160" w:line="280" w:lineRule="auto"/>
        <w:ind w:left="200" w:right="200" w:firstLine="0"/>
        <w:jc w:val="both"/>
        <w:rPr/>
      </w:pPr>
      <w:r>
        <w:rPr>
          <w:b w:val="1"/>
          <w:bCs w:val="1"/>
          <w:color w:val="b7291e"/>
          <w:sz w:val="19"/>
          <w:szCs w:val="19"/>
          <w:rtl w:val="0"/>
        </w:rPr>
        <w:t xml:space="preserve">Atenção à confusão volume x proporção: </w:t>
      </w:r>
      <w:r>
        <w:rPr>
          <w:sz w:val="19"/>
          <w:szCs w:val="19"/>
          <w:rtl w:val="0"/>
        </w:rPr>
        <w:t xml:space="preserve">a SPRF-MG concentra o maior volume absoluto (13,2% dos registros) mas tem % alvo (6,75%) abaixo da taxa global; já a SPRF-MA, com apenas 1,7% do volume total, tem % alvo de 18,86% — mais que o dobro da taxa global. Volume e letalidade proporcional apontam para regionais diferentes.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3.3 Por rodovia (BR)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spacing w:after="180" w:line="300" w:lineRule="auto"/>
        <w:jc w:val="both"/>
        <w:rPr/>
      </w:pPr>
      <w:r>
        <w:rPr>
          <w:rtl w:val="0"/>
        </w:rPr>
        <w:t xml:space="preserve">As duas rodovias de maior volume, BR-101 e BR-116, somam juntas 33,1% do total de registros da base, mas suas % de acidentes fatais (5,24% e 5,79%) ficam abaixo da taxa global de 7,18% — o volume é puxado por rodovias de tráfego intenso, não necessariamente pelas mais letais.</w:t>
      </w:r>
    </w:p>
    <w:p w:rsidR="00000000" w:rsidDel="00000000" w:rsidP="00000000" w:rsidRDefault="00000000" w:rsidRPr="00000000" w14:paraId="0000005F">
      <w:pPr>
        <w:spacing w:after="180" w:line="280" w:lineRule="auto"/>
        <w:rPr/>
      </w:pPr>
      <w:r>
        <w:rPr>
          <w:b w:val="1"/>
          <w:bCs w:val="1"/>
          <w:i w:val="1"/>
          <w:iCs w:val="1"/>
          <w:color w:val="6b6b6b"/>
          <w:sz w:val="19"/>
          <w:szCs w:val="19"/>
          <w:rtl w:val="0"/>
        </w:rPr>
        <w:t xml:space="preserve">Nota: </w:t>
      </w:r>
      <w:r>
        <w:rPr>
          <w:i w:val="1"/>
          <w:iCs w:val="1"/>
          <w:color w:val="6b6b6b"/>
          <w:sz w:val="19"/>
          <w:szCs w:val="19"/>
          <w:rtl w:val="0"/>
        </w:rPr>
        <w:t xml:space="preserve">o gráfico abaixo mostra as 10 rodovias com maior volume de registros (esquerda) e a % de acidentes fatais nas mesmas rodovias (direita), com a taxa global de 7,18% marcada pela linha tracejada.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Rule="auto"/>
        <w:jc w:val="center"/>
        <w:rPr/>
      </w:pPr>
      <w:r>
        <w:rPr/>
        <w:drawing>
          <wp:inline distB="0" distT="0" distL="0" distR="0">
            <wp:extent cx="5762625" cy="22002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Chart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1">
      <w:pPr>
        <w:spacing w:before="40" w:lineRule="auto"/>
        <w:jc w:val="center"/>
        <w:rPr/>
      </w:pPr>
      <w:r>
        <w:rPr>
          <w:i w:val="1"/>
          <w:iCs w:val="1"/>
          <w:color w:val="6b6b6b"/>
          <w:sz w:val="15"/>
          <w:szCs w:val="15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260" w:before="100" w:lineRule="auto"/>
        <w:jc w:val="center"/>
        <w:rPr/>
      </w:pPr>
      <w:r>
        <w:rPr>
          <w:i w:val="1"/>
          <w:iCs w:val="1"/>
          <w:color w:val="6b6b6b"/>
          <w:sz w:val="17"/>
          <w:szCs w:val="17"/>
          <w:rtl w:val="0"/>
        </w:rPr>
        <w:t xml:space="preserve">Gráfico 1 — top 10 rodovias por volume de registros (esquerda) e % de acidentes fatais nas mesmas rodovias (direita), com a taxa global de 7,18% como referência.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bottom w:color="1f5c99" w:space="0" w:sz="8" w:val="single"/>
        </w:pBdr>
        <w:spacing w:after="200" w:before="420" w:lineRule="auto"/>
        <w:rPr/>
      </w:pPr>
      <w:r>
        <w:rPr>
          <w:b w:val="1"/>
          <w:bCs w:val="1"/>
          <w:color w:val="1a1a1a"/>
          <w:sz w:val="29"/>
          <w:szCs w:val="29"/>
          <w:rtl w:val="0"/>
        </w:rPr>
        <w:t xml:space="preserve">4. Séries temporais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4.1 Série mensal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spacing w:after="180" w:line="300" w:lineRule="auto"/>
        <w:jc w:val="both"/>
        <w:rPr/>
      </w:pPr>
      <w:r>
        <w:rPr>
          <w:rtl w:val="0"/>
        </w:rPr>
        <w:t xml:space="preserve">O volume mensal de registros varia pouco ao longo do ano (entre 5.287 em fevereiro e 6.788 em dezembro), sem uma tendência clara de crescimento. Já a % de acidentes fatais tem um pico em maio (8,27%) e se mantém acima da taxa global na maior parte do segundo semestre, mostrando que a letalidade proporcional não acompanha exatamente as variações de volume.</w:t>
      </w:r>
    </w:p>
    <w:p w:rsidR="00000000" w:rsidDel="00000000" w:rsidP="00000000" w:rsidRDefault="00000000" w:rsidRPr="00000000" w14:paraId="00000066">
      <w:pPr>
        <w:spacing w:before="120" w:lineRule="auto"/>
        <w:jc w:val="center"/>
        <w:rPr/>
      </w:pPr>
      <w:r>
        <w:rPr/>
        <w:drawing>
          <wp:inline distB="0" distT="0" distL="0" distR="0">
            <wp:extent cx="5762625" cy="18859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Chart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7">
      <w:pPr>
        <w:spacing w:before="40" w:lineRule="auto"/>
        <w:jc w:val="center"/>
        <w:rPr/>
      </w:pPr>
      <w:r>
        <w:rPr>
          <w:i w:val="1"/>
          <w:iCs w:val="1"/>
          <w:color w:val="6b6b6b"/>
          <w:sz w:val="15"/>
          <w:szCs w:val="15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260" w:before="100" w:lineRule="auto"/>
        <w:jc w:val="center"/>
        <w:rPr/>
      </w:pPr>
      <w:r>
        <w:rPr>
          <w:i w:val="1"/>
          <w:iCs w:val="1"/>
          <w:color w:val="6b6b6b"/>
          <w:sz w:val="17"/>
          <w:szCs w:val="17"/>
          <w:rtl w:val="0"/>
        </w:rPr>
        <w:t xml:space="preserve">Gráfico 2 — série mensal de volume de registros (esquerda) e de % de acidentes fatais (direita), com a taxa global de 7,18% tracejada.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4.2 Por dia da semana</w:t>
      </w:r>
      <w:r>
        <w:rPr>
          <w:rtl w:val="0"/>
        </w:rPr>
      </w:r>
    </w:p>
    <w:tbl>
      <w:tblPr>
        <w:tblStyle w:val="Table8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200"/>
        <w:gridCol w:w="2860"/>
        <w:tblGridChange w:id="0">
          <w:tblGrid>
            <w:gridCol w:w="62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  <w:tbl>
            <w:tblPr>
              <w:tblStyle w:val="Table9"/>
              <w:tblW w:w="58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50"/>
              <w:gridCol w:w="1400"/>
              <w:gridCol w:w="1400"/>
              <w:gridCol w:w="1250"/>
              <w:tblGridChange w:id="0">
                <w:tblGrid>
                  <w:gridCol w:w="1750"/>
                  <w:gridCol w:w="1400"/>
                  <w:gridCol w:w="1400"/>
                  <w:gridCol w:w="125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6B">
                  <w:pPr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Dia da semana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6C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Registros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6D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Eventos-alvo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6E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% alvo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6F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Domingo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0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11.470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1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1.017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2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8,87%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3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Sábado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4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11.554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5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953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6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8,25%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7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Terça-feira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8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9.062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9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586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7A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6,47%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pBdr>
                <w:top w:color="eff4fb" w:space="0" w:sz="4" w:val="single"/>
                <w:left w:color="1f5c99" w:space="0" w:sz="28" w:val="single"/>
                <w:bottom w:color="eff4fb" w:space="0" w:sz="4" w:val="single"/>
                <w:right w:color="eff4fb" w:space="0" w:sz="4" w:val="single"/>
              </w:pBdr>
              <w:shd w:fill="eff4fb" w:val="clear"/>
              <w:spacing w:after="160" w:before="160" w:line="280" w:lineRule="auto"/>
              <w:ind w:left="200" w:right="200" w:firstLine="0"/>
              <w:rPr/>
            </w:pPr>
            <w:r>
              <w:rPr>
                <w:b w:val="1"/>
                <w:bCs w:val="1"/>
                <w:sz w:val="19"/>
                <w:szCs w:val="19"/>
                <w:rtl w:val="0"/>
              </w:rPr>
              <w:t xml:space="preserve">Leitura: </w:t>
            </w:r>
            <w:r>
              <w:rPr>
                <w:sz w:val="19"/>
                <w:szCs w:val="19"/>
                <w:rtl w:val="0"/>
              </w:rPr>
              <w:t xml:space="preserve">o fim de semana (sábado e domingo) se destaca claramente: domingo tem a maior % de acidentes fatais (8,87%) da semana, contra apenas 6,47% na terça-feira, o dia mais seguro proporcionalmente.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E">
      <w:pPr>
        <w:spacing w:after="180" w:line="300" w:lineRule="auto"/>
        <w:jc w:val="both"/>
        <w:rPr/>
      </w:pPr>
      <w:r>
        <w:rPr>
          <w:rtl w:val="0"/>
        </w:rPr>
        <w:t xml:space="preserve">O volume de registros é relativamente uniforme entre os dias (9 mil a 11,5 mil), mas a letalidade proporcional cresce visivelmente do meio de semana para o fim de semana, com domingo e sábado como os subgrupos mais extremos.</w:t>
      </w:r>
    </w:p>
    <w:p w:rsidR="00000000" w:rsidDel="00000000" w:rsidP="00000000" w:rsidRDefault="00000000" w:rsidRPr="00000000" w14:paraId="0000007F">
      <w:pPr>
        <w:spacing w:before="120" w:lineRule="auto"/>
        <w:jc w:val="center"/>
        <w:rPr/>
      </w:pPr>
      <w:r>
        <w:rPr/>
        <w:drawing>
          <wp:inline distB="0" distT="0" distL="0" distR="0">
            <wp:extent cx="5762625" cy="18859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Chart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80">
      <w:pPr>
        <w:spacing w:before="40" w:lineRule="auto"/>
        <w:jc w:val="center"/>
        <w:rPr/>
      </w:pPr>
      <w:r>
        <w:rPr>
          <w:i w:val="1"/>
          <w:iCs w:val="1"/>
          <w:color w:val="6b6b6b"/>
          <w:sz w:val="15"/>
          <w:szCs w:val="15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260" w:before="100" w:lineRule="auto"/>
        <w:jc w:val="center"/>
        <w:rPr/>
      </w:pPr>
      <w:r>
        <w:rPr>
          <w:i w:val="1"/>
          <w:iCs w:val="1"/>
          <w:color w:val="6b6b6b"/>
          <w:sz w:val="17"/>
          <w:szCs w:val="17"/>
          <w:rtl w:val="0"/>
        </w:rPr>
        <w:t xml:space="preserve">Gráfico 3 — registros por dia da semana (esquerda) e % de acidentes fatais por dia da semana (direita), com a taxa global de 7,18% tracejada.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Bdr>
          <w:bottom w:color="1f5c99" w:space="0" w:sz="8" w:val="single"/>
        </w:pBdr>
        <w:spacing w:after="200" w:before="420" w:lineRule="auto"/>
        <w:rPr/>
      </w:pPr>
      <w:r>
        <w:rPr>
          <w:b w:val="1"/>
          <w:bCs w:val="1"/>
          <w:color w:val="1a1a1a"/>
          <w:sz w:val="29"/>
          <w:szCs w:val="29"/>
          <w:rtl w:val="0"/>
        </w:rPr>
        <w:t xml:space="preserve">5. Análise bivariada — o que mais se associa ao indicador-alvo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5.1 Tipo de acidente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180" w:line="300" w:lineRule="auto"/>
        <w:jc w:val="both"/>
        <w:rPr/>
      </w:pPr>
      <w:r>
        <w:rPr>
          <w:rtl w:val="0"/>
        </w:rPr>
        <w:t xml:space="preserve">Este é um dos achados mais fortes da base: a categoria mais frequente (</w:t>
      </w:r>
      <w:r>
        <w:rPr>
          <w:b w:val="1"/>
          <w:bCs w:val="1"/>
          <w:rtl w:val="0"/>
        </w:rPr>
        <w:t xml:space="preserve">Colisão traseira</w:t>
      </w:r>
      <w:r>
        <w:rPr>
          <w:rtl w:val="0"/>
        </w:rPr>
        <w:t xml:space="preserve">, 14.360 casos) tem proporção de alvo de apenas </w:t>
      </w:r>
      <w:r>
        <w:rPr>
          <w:b w:val="1"/>
          <w:bCs w:val="1"/>
          <w:rtl w:val="0"/>
        </w:rPr>
        <w:t xml:space="preserve">4,31%</w:t>
      </w:r>
      <w:r>
        <w:rPr>
          <w:rtl w:val="0"/>
        </w:rPr>
        <w:t xml:space="preserve">, enquanto categorias mais raras chegam a ser </w:t>
      </w:r>
      <w:r>
        <w:rPr>
          <w:b w:val="1"/>
          <w:bCs w:val="1"/>
          <w:rtl w:val="0"/>
        </w:rPr>
        <w:t xml:space="preserve">4,1</w:t>
      </w:r>
      <w:r>
        <w:rPr>
          <w:rtl w:val="0"/>
        </w:rPr>
        <w:t xml:space="preserve"> que a taxa global.</w:t>
      </w:r>
    </w:p>
    <w:tbl>
      <w:tblPr>
        <w:tblStyle w:val="Table10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1900"/>
        <w:gridCol w:w="1900"/>
        <w:gridCol w:w="1860"/>
        <w:tblGridChange w:id="0">
          <w:tblGrid>
            <w:gridCol w:w="3400"/>
            <w:gridCol w:w="1900"/>
            <w:gridCol w:w="1900"/>
            <w:gridCol w:w="1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Tipo de acidente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Registros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Eventos-alvo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% alvo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sz w:val="18"/>
                <w:szCs w:val="18"/>
                <w:rtl w:val="0"/>
              </w:rPr>
              <w:t xml:space="preserve">Colisão traseira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14.360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619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4,31%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sz w:val="18"/>
                <w:szCs w:val="18"/>
                <w:rtl w:val="0"/>
              </w:rPr>
              <w:t xml:space="preserve">Saída de leito carroçável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10.209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605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5,93%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sz w:val="18"/>
                <w:szCs w:val="18"/>
                <w:rtl w:val="0"/>
              </w:rPr>
              <w:t xml:space="preserve">Colisão transversal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9.306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427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4,59%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sz w:val="18"/>
                <w:szCs w:val="18"/>
                <w:rtl w:val="0"/>
              </w:rPr>
              <w:t xml:space="preserve">Colisão frontal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4.739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1.396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29,46%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180" w:line="280" w:lineRule="auto"/>
        <w:rPr/>
      </w:pPr>
      <w:r>
        <w:rPr>
          <w:b w:val="1"/>
          <w:bCs w:val="1"/>
          <w:i w:val="1"/>
          <w:iCs w:val="1"/>
          <w:color w:val="6b6b6b"/>
          <w:sz w:val="19"/>
          <w:szCs w:val="19"/>
          <w:rtl w:val="0"/>
        </w:rPr>
        <w:t xml:space="preserve">Nota: </w:t>
      </w:r>
      <w:r>
        <w:rPr>
          <w:i w:val="1"/>
          <w:iCs w:val="1"/>
          <w:color w:val="6b6b6b"/>
          <w:sz w:val="19"/>
          <w:szCs w:val="19"/>
          <w:rtl w:val="0"/>
        </w:rPr>
        <w:t xml:space="preserve">o gráfico abaixo compara a composição por desfecho (sem vítimas, com vítimas feridas, com vítimas fatais) nos seis tipos de acidente mais frequentes da base.</w:t>
      </w:r>
      <w:r>
        <w:rPr>
          <w:rtl w:val="0"/>
        </w:rPr>
      </w:r>
    </w:p>
    <w:p w:rsidR="00000000" w:rsidDel="00000000" w:rsidP="00000000" w:rsidRDefault="00000000" w:rsidRPr="00000000" w14:paraId="0000009A">
      <w:pPr>
        <w:spacing w:before="120" w:lineRule="auto"/>
        <w:jc w:val="center"/>
        <w:rPr/>
      </w:pPr>
      <w:r>
        <w:rPr/>
        <w:drawing>
          <wp:inline distB="0" distT="0" distL="0" distR="0">
            <wp:extent cx="5943600" cy="194517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Chart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9B">
      <w:pPr>
        <w:spacing w:before="40" w:lineRule="auto"/>
        <w:jc w:val="center"/>
        <w:rPr/>
      </w:pPr>
      <w:r>
        <w:rPr>
          <w:i w:val="1"/>
          <w:iCs w:val="1"/>
          <w:color w:val="6b6b6b"/>
          <w:sz w:val="15"/>
          <w:szCs w:val="15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260" w:before="100" w:lineRule="auto"/>
        <w:jc w:val="center"/>
        <w:rPr/>
      </w:pPr>
      <w:r>
        <w:rPr>
          <w:i w:val="1"/>
          <w:iCs w:val="1"/>
          <w:color w:val="6b6b6b"/>
          <w:sz w:val="17"/>
          <w:szCs w:val="17"/>
          <w:rtl w:val="0"/>
        </w:rPr>
        <w:t xml:space="preserve">Gráfico 4 — composição por desfecho nos tipos de acidente mais frequentes.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5.2 Causa do acidente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spacing w:after="180" w:line="300" w:lineRule="auto"/>
        <w:jc w:val="both"/>
        <w:rPr/>
      </w:pPr>
      <w:r>
        <w:rPr>
          <w:rtl w:val="0"/>
        </w:rPr>
        <w:t xml:space="preserve">Aplique um filtro de volume mínimo por categoria para evitar destacar percentuais instáveis, e liste as categorias com maior proporção do indicador-alvo:</w:t>
      </w:r>
    </w:p>
    <w:tbl>
      <w:tblPr>
        <w:tblStyle w:val="Table1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1900"/>
        <w:gridCol w:w="1900"/>
        <w:gridCol w:w="1660"/>
        <w:tblGridChange w:id="0">
          <w:tblGrid>
            <w:gridCol w:w="3600"/>
            <w:gridCol w:w="1900"/>
            <w:gridCol w:w="19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Causa (mín. 1.000 registros)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Registros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Eventos-alvo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% alvo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sz w:val="18"/>
                <w:szCs w:val="18"/>
                <w:rtl w:val="0"/>
              </w:rPr>
              <w:t xml:space="preserve">Transitar na contramão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2.475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736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29,74%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sz w:val="18"/>
                <w:szCs w:val="18"/>
                <w:rtl w:val="0"/>
              </w:rPr>
              <w:t xml:space="preserve">Ultrapassagem indevida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1.770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302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17,06%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sz w:val="18"/>
                <w:szCs w:val="18"/>
                <w:rtl w:val="0"/>
              </w:rPr>
              <w:t xml:space="preserve">Velocidade incompatível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4.088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385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9,42%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before="120" w:lineRule="auto"/>
        <w:jc w:val="center"/>
        <w:rPr/>
      </w:pPr>
      <w:r>
        <w:rPr/>
        <w:drawing>
          <wp:inline distB="0" distT="0" distL="0" distR="0">
            <wp:extent cx="5762625" cy="22002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Chart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B0">
      <w:pPr>
        <w:spacing w:before="40" w:lineRule="auto"/>
        <w:jc w:val="center"/>
        <w:rPr/>
      </w:pPr>
      <w:r>
        <w:rPr>
          <w:i w:val="1"/>
          <w:iCs w:val="1"/>
          <w:color w:val="6b6b6b"/>
          <w:sz w:val="15"/>
          <w:szCs w:val="15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0B1">
      <w:pPr>
        <w:spacing w:after="260" w:before="100" w:lineRule="auto"/>
        <w:jc w:val="center"/>
        <w:rPr/>
      </w:pPr>
      <w:r>
        <w:rPr>
          <w:i w:val="1"/>
          <w:iCs w:val="1"/>
          <w:color w:val="6b6b6b"/>
          <w:sz w:val="17"/>
          <w:szCs w:val="17"/>
          <w:rtl w:val="0"/>
        </w:rPr>
        <w:t xml:space="preserve">Gráfico 5 — % de acidentes fatais nas causas mais associadas ao alvo (mín. 1.000 registros), com a taxa global de 7,18% tracejada.</w:t>
      </w:r>
      <w:r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5.3 Condição meteorológica e turno</w:t>
      </w:r>
      <w:r>
        <w:rPr>
          <w:rtl w:val="0"/>
        </w:rPr>
      </w:r>
    </w:p>
    <w:tbl>
      <w:tblPr>
        <w:tblStyle w:val="Table12"/>
        <w:tblW w:w="9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  <w:tbl>
            <w:tblPr>
              <w:tblStyle w:val="Table13"/>
              <w:tblW w:w="4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50"/>
              <w:gridCol w:w="1450"/>
              <w:gridCol w:w="1000"/>
              <w:tblGridChange w:id="0">
                <w:tblGrid>
                  <w:gridCol w:w="1850"/>
                  <w:gridCol w:w="1450"/>
                  <w:gridCol w:w="10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B4">
                  <w:pPr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Condição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B5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Registros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B6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% alvo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B7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Nevoeiro/Neblina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B8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553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B9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10,85%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BA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Céu claro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BB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46.375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BC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7,37%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  <w:tbl>
            <w:tblPr>
              <w:tblStyle w:val="Table14"/>
              <w:tblW w:w="4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50"/>
              <w:gridCol w:w="1450"/>
              <w:gridCol w:w="1000"/>
              <w:tblGridChange w:id="0">
                <w:tblGrid>
                  <w:gridCol w:w="1850"/>
                  <w:gridCol w:w="1450"/>
                  <w:gridCol w:w="10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BF">
                  <w:pPr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Turno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C0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Registros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C1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% alvo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C2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Amanhecer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C3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3.447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C4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11,20%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C5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Pleno dia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C6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40.375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C7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5,07%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8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60" w:before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CA">
      <w:pPr>
        <w:spacing w:after="180" w:line="300" w:lineRule="auto"/>
        <w:jc w:val="both"/>
        <w:rPr/>
      </w:pPr>
      <w:r>
        <w:rPr>
          <w:rtl w:val="0"/>
        </w:rPr>
        <w:t xml:space="preserve">O padrão mais robusto em volume é o de céu claro (63,9% dos registros), com % alvo de 7,37% — próximo da taxa global. Nevoeiro/neblina tem % alvo mais alta (10,85%), mas com apenas 553 registros, deve ser lido com cautela. Por turno, o amanhecer se destaca com 11,20% de % alvo, mais que o dobro do pleno dia (5,07%).</w:t>
      </w:r>
    </w:p>
    <w:p w:rsidR="00000000" w:rsidDel="00000000" w:rsidP="00000000" w:rsidRDefault="00000000" w:rsidRPr="00000000" w14:paraId="000000CB">
      <w:pPr>
        <w:spacing w:before="120" w:lineRule="auto"/>
        <w:jc w:val="center"/>
        <w:rPr/>
      </w:pPr>
      <w:r>
        <w:rPr/>
        <w:drawing>
          <wp:inline distB="0" distT="0" distL="0" distR="0">
            <wp:extent cx="5762625" cy="209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Chart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CC">
      <w:pPr>
        <w:spacing w:before="40" w:lineRule="auto"/>
        <w:jc w:val="center"/>
        <w:rPr/>
      </w:pPr>
      <w:r>
        <w:rPr>
          <w:i w:val="1"/>
          <w:iCs w:val="1"/>
          <w:color w:val="6b6b6b"/>
          <w:sz w:val="15"/>
          <w:szCs w:val="15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after="260" w:before="100" w:lineRule="auto"/>
        <w:jc w:val="center"/>
        <w:rPr/>
      </w:pPr>
      <w:r>
        <w:rPr>
          <w:i w:val="1"/>
          <w:iCs w:val="1"/>
          <w:color w:val="6b6b6b"/>
          <w:sz w:val="17"/>
          <w:szCs w:val="17"/>
          <w:rtl w:val="0"/>
        </w:rPr>
        <w:t xml:space="preserve">Gráfico 6 — % de acidentes fatais por condição meteorológica (esquerda) e por turno (direita), com a taxa global de 7,18% tracejada.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5.4 Tipo de pista e traçado da via</w:t>
      </w:r>
      <w:r>
        <w:rPr>
          <w:rtl w:val="0"/>
        </w:rPr>
      </w:r>
    </w:p>
    <w:tbl>
      <w:tblPr>
        <w:tblStyle w:val="Table15"/>
        <w:tblW w:w="9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  <w:tbl>
            <w:tblPr>
              <w:tblStyle w:val="Table16"/>
              <w:tblW w:w="4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50"/>
              <w:gridCol w:w="1450"/>
              <w:gridCol w:w="1000"/>
              <w:tblGridChange w:id="0">
                <w:tblGrid>
                  <w:gridCol w:w="1850"/>
                  <w:gridCol w:w="1450"/>
                  <w:gridCol w:w="10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0">
                  <w:pPr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Tipo de pista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1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Registros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2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% alvo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D3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Simples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D4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34.733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D5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9,86%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D6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Dupla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D7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30.782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D8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4,88%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9">
            <w:pPr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6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  <w:tbl>
            <w:tblPr>
              <w:tblStyle w:val="Table17"/>
              <w:tblW w:w="4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850"/>
              <w:gridCol w:w="1450"/>
              <w:gridCol w:w="1000"/>
              <w:tblGridChange w:id="0">
                <w:tblGrid>
                  <w:gridCol w:w="1850"/>
                  <w:gridCol w:w="1450"/>
                  <w:gridCol w:w="10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B">
                  <w:pPr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Trecho em curva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C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Registros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333333" w:space="0" w:sz="8" w:val="single"/>
                    <w:left w:color="000000" w:space="0" w:sz="0" w:val="nil"/>
                    <w:bottom w:color="333333" w:space="0" w:sz="6" w:val="single"/>
                    <w:right w:color="000000" w:space="0" w:sz="0" w:val="nil"/>
                  </w:tcBorders>
                  <w:shd w:fill="f4f4f4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DD">
                  <w:pPr>
                    <w:jc w:val="right"/>
                    <w:rPr/>
                  </w:pPr>
                  <w:r>
                    <w:rPr>
                      <w:b w:val="1"/>
                      <w:bCs w:val="1"/>
                      <w:color w:val="1a1a1a"/>
                      <w:sz w:val="18"/>
                      <w:szCs w:val="18"/>
                      <w:rtl w:val="0"/>
                    </w:rPr>
                    <w:t xml:space="preserve">% alvo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DE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Sim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DF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13.140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fffff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E0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8,55%</w:t>
                  </w:r>
                  <w:r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E1">
                  <w:pPr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Não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E2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59.389</w:t>
                  </w:r>
                  <w:r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d9d9d9" w:space="0" w:sz="4" w:val="single"/>
                    <w:right w:color="000000" w:space="0" w:sz="0" w:val="nil"/>
                  </w:tcBorders>
                  <w:shd w:fill="f8f8f8" w:val="clear"/>
                  <w:tcMar>
                    <w:top w:w="70.0" w:type="dxa"/>
                    <w:left w:w="120.0" w:type="dxa"/>
                    <w:bottom w:w="70.0" w:type="dxa"/>
                    <w:right w:w="120.0" w:type="dxa"/>
                  </w:tcMar>
                </w:tcPr>
                <w:p w:rsidR="00000000" w:rsidDel="00000000" w:rsidP="00000000" w:rsidRDefault="00000000" w:rsidRPr="00000000" w14:paraId="000000E3">
                  <w:pPr>
                    <w:jc w:val="right"/>
                    <w:rPr/>
                  </w:pPr>
                  <w:r>
                    <w:rPr>
                      <w:sz w:val="18"/>
                      <w:szCs w:val="18"/>
                      <w:rtl w:val="0"/>
                    </w:rPr>
                    <w:t xml:space="preserve">6,88%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eff4fb" w:space="0" w:sz="4" w:val="single"/>
          <w:left w:color="1f5c99" w:space="0" w:sz="28" w:val="single"/>
          <w:bottom w:color="eff4fb" w:space="0" w:sz="4" w:val="single"/>
          <w:right w:color="eff4fb" w:space="0" w:sz="4" w:val="single"/>
        </w:pBdr>
        <w:shd w:fill="eff4fb" w:val="clear"/>
        <w:spacing w:after="160" w:before="160" w:line="280" w:lineRule="auto"/>
        <w:ind w:left="200" w:right="200" w:firstLine="0"/>
        <w:rPr/>
      </w:pPr>
      <w:r>
        <w:rPr>
          <w:b w:val="1"/>
          <w:bCs w:val="1"/>
          <w:sz w:val="19"/>
          <w:szCs w:val="19"/>
          <w:rtl w:val="0"/>
        </w:rPr>
        <w:t xml:space="preserve">Achados mais acionáveis do relatório: </w:t>
      </w:r>
      <w:r>
        <w:rPr>
          <w:sz w:val="19"/>
          <w:szCs w:val="19"/>
          <w:rtl w:val="0"/>
        </w:rPr>
        <w:t xml:space="preserve">pistas simples têm % de acidentes fatais mais que o dobro das pistas duplas (9,86% vs 4,88%) — a ausência de canteiro central facilita colisões frontais, o tipo de acidente mais letal da base. Trechos em curva também têm % alvo mais alta que trechos retos (8,55% vs 6,88%), reforçando a relação entre geometria da via e severidade.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16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8">
      <w:pPr>
        <w:spacing w:after="180" w:line="280" w:lineRule="auto"/>
        <w:rPr/>
      </w:pPr>
      <w:r>
        <w:rPr>
          <w:b w:val="1"/>
          <w:bCs w:val="1"/>
          <w:i w:val="1"/>
          <w:iCs w:val="1"/>
          <w:color w:val="6b6b6b"/>
          <w:sz w:val="19"/>
          <w:szCs w:val="19"/>
          <w:rtl w:val="0"/>
        </w:rPr>
        <w:t xml:space="preserve">Nota: </w:t>
      </w:r>
      <w:r>
        <w:rPr>
          <w:i w:val="1"/>
          <w:iCs w:val="1"/>
          <w:color w:val="6b6b6b"/>
          <w:sz w:val="19"/>
          <w:szCs w:val="19"/>
          <w:rtl w:val="0"/>
        </w:rPr>
        <w:t xml:space="preserve">o mapa de calor abaixo mostra como a % de acidentes fatais varia ao cruzar condição meteorológica e turno.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before="120" w:lineRule="auto"/>
        <w:jc w:val="center"/>
        <w:rPr/>
      </w:pPr>
      <w:r>
        <w:rPr/>
        <w:drawing>
          <wp:inline distB="0" distT="0" distL="0" distR="0">
            <wp:extent cx="6038850" cy="305120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Chart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51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before="40" w:lineRule="auto"/>
        <w:jc w:val="center"/>
        <w:rPr/>
      </w:pPr>
      <w:r>
        <w:rPr>
          <w:i w:val="1"/>
          <w:iCs w:val="1"/>
          <w:color w:val="6b6b6b"/>
          <w:sz w:val="15"/>
          <w:szCs w:val="15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after="260" w:before="100" w:lineRule="auto"/>
        <w:jc w:val="center"/>
        <w:rPr/>
      </w:pPr>
      <w:r>
        <w:rPr>
          <w:i w:val="1"/>
          <w:iCs w:val="1"/>
          <w:color w:val="6b6b6b"/>
          <w:sz w:val="17"/>
          <w:szCs w:val="17"/>
          <w:rtl w:val="0"/>
        </w:rPr>
        <w:t xml:space="preserve">Gráfico 7 — % de acidentes fatais por condição meteorológica x turno.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pBdr>
          <w:bottom w:color="1f5c99" w:space="0" w:sz="8" w:val="single"/>
        </w:pBdr>
        <w:spacing w:after="200" w:before="420" w:lineRule="auto"/>
        <w:rPr/>
      </w:pPr>
      <w:r>
        <w:rPr>
          <w:b w:val="1"/>
          <w:bCs w:val="1"/>
          <w:color w:val="1a1a1a"/>
          <w:sz w:val="29"/>
          <w:szCs w:val="29"/>
          <w:rtl w:val="0"/>
        </w:rPr>
        <w:t xml:space="preserve">6. Combinações de fatores e correlação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spacing w:after="180" w:line="300" w:lineRule="auto"/>
        <w:jc w:val="both"/>
        <w:rPr/>
      </w:pPr>
      <w:r>
        <w:rPr>
          <w:rtl w:val="0"/>
        </w:rPr>
        <w:t xml:space="preserve">Cruzando causa do acidente com tipo de pista (mínimo de 300 registros por combinação para estabilidade), as combinações mais associadas ao alvo são:</w:t>
      </w:r>
    </w:p>
    <w:tbl>
      <w:tblPr>
        <w:tblStyle w:val="Table18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600"/>
        <w:gridCol w:w="1900"/>
        <w:gridCol w:w="1960"/>
        <w:tblGridChange w:id="0">
          <w:tblGrid>
            <w:gridCol w:w="2600"/>
            <w:gridCol w:w="2600"/>
            <w:gridCol w:w="19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Causa do acidente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Tipo de pista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Registros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% alvo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>
              <w:rPr>
                <w:sz w:val="18"/>
                <w:szCs w:val="18"/>
                <w:rtl w:val="0"/>
              </w:rPr>
              <w:t xml:space="preserve">Transitar na contramão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Simples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2.111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32,26%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>
              <w:rPr>
                <w:sz w:val="18"/>
                <w:szCs w:val="18"/>
                <w:rtl w:val="0"/>
              </w:rPr>
              <w:t xml:space="preserve">Ausência de reação do condutor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Simples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4.817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9,55%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>
              <w:rPr>
                <w:sz w:val="18"/>
                <w:szCs w:val="18"/>
                <w:rtl w:val="0"/>
              </w:rPr>
              <w:t xml:space="preserve">Velocidade incompatível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Simples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2.044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11,99%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180" w:line="300" w:lineRule="auto"/>
        <w:jc w:val="both"/>
        <w:rPr/>
      </w:pPr>
      <w:r>
        <w:rPr>
          <w:rtl w:val="0"/>
        </w:rPr>
        <w:t xml:space="preserve">Cruzando tipo de acidente com condição meteorológica (mínimo de 200 registros por combinação), a combinação mais crítica é atropelamento de pedestre em dia nublado:</w:t>
      </w:r>
    </w:p>
    <w:tbl>
      <w:tblPr>
        <w:tblStyle w:val="Table19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600"/>
        <w:gridCol w:w="1900"/>
        <w:gridCol w:w="1960"/>
        <w:tblGridChange w:id="0">
          <w:tblGrid>
            <w:gridCol w:w="2600"/>
            <w:gridCol w:w="2600"/>
            <w:gridCol w:w="19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Tipo de acidente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Condição meteorológica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Registros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% alvo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sz w:val="18"/>
                <w:szCs w:val="18"/>
                <w:rtl w:val="0"/>
              </w:rPr>
              <w:t xml:space="preserve">Atropelamento de Pedestre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Nublado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565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31,15%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>
              <w:rPr>
                <w:sz w:val="18"/>
                <w:szCs w:val="18"/>
                <w:rtl w:val="0"/>
              </w:rPr>
              <w:t xml:space="preserve">Colisão frontal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Sol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200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30,50%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80" w:line="280" w:lineRule="auto"/>
        <w:rPr/>
      </w:pPr>
      <w:r>
        <w:rPr>
          <w:b w:val="1"/>
          <w:bCs w:val="1"/>
          <w:i w:val="1"/>
          <w:iCs w:val="1"/>
          <w:color w:val="6b6b6b"/>
          <w:sz w:val="19"/>
          <w:szCs w:val="19"/>
          <w:rtl w:val="0"/>
        </w:rPr>
        <w:t xml:space="preserve">Nota: </w:t>
      </w:r>
      <w:r>
        <w:rPr>
          <w:i w:val="1"/>
          <w:iCs w:val="1"/>
          <w:color w:val="6b6b6b"/>
          <w:sz w:val="19"/>
          <w:szCs w:val="19"/>
          <w:rtl w:val="0"/>
        </w:rPr>
        <w:t xml:space="preserve">mortos tem correlação de Pearson fraca com as demais variáveis numéricas (a mais forte é com veículos, 0,13), o que indica que a letalidade não é redundante com o volume de feridos ou de pessoas envolvidas — feridos leves e feridos totais, por exemplo, compõem por definição a própria gravidade do evento e têm correlação de 0,85 entre si.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spacing w:before="120" w:lineRule="auto"/>
        <w:jc w:val="center"/>
        <w:rPr/>
      </w:pPr>
      <w:r>
        <w:rPr/>
        <w:drawing>
          <wp:inline distB="0" distT="0" distL="0" distR="0">
            <wp:extent cx="6038850" cy="520012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Chart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200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0D">
      <w:pPr>
        <w:spacing w:before="40" w:lineRule="auto"/>
        <w:jc w:val="center"/>
        <w:rPr/>
      </w:pPr>
      <w:r>
        <w:rPr>
          <w:i w:val="1"/>
          <w:iCs w:val="1"/>
          <w:color w:val="6b6b6b"/>
          <w:sz w:val="15"/>
          <w:szCs w:val="15"/>
          <w:rtl w:val="0"/>
        </w:rPr>
        <w:t xml:space="preserve"/>
      </w:r>
      <w:r>
        <w:rPr>
          <w:rtl w:val="0"/>
        </w:rPr>
      </w:r>
    </w:p>
    <w:p w:rsidR="00000000" w:rsidDel="00000000" w:rsidP="00000000" w:rsidRDefault="00000000" w:rsidRPr="00000000" w14:paraId="0000010E">
      <w:pPr>
        <w:spacing w:after="260" w:before="100" w:lineRule="auto"/>
        <w:jc w:val="center"/>
        <w:rPr/>
      </w:pPr>
      <w:r>
        <w:rPr>
          <w:i w:val="1"/>
          <w:iCs w:val="1"/>
          <w:color w:val="6b6b6b"/>
          <w:sz w:val="17"/>
          <w:szCs w:val="17"/>
          <w:rtl w:val="0"/>
        </w:rPr>
        <w:t xml:space="preserve">Gráfico 8 — matriz de correlação de Pearson entre variáveis numéricas e mortos.</w:t>
      </w:r>
      <w:r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pBdr>
          <w:bottom w:color="1f5c99" w:space="0" w:sz="8" w:val="single"/>
        </w:pBdr>
        <w:spacing w:after="200" w:before="420" w:lineRule="auto"/>
        <w:rPr/>
      </w:pPr>
      <w:r>
        <w:rPr>
          <w:b w:val="1"/>
          <w:bCs w:val="1"/>
          <w:color w:val="1a1a1a"/>
          <w:sz w:val="29"/>
          <w:szCs w:val="29"/>
          <w:rtl w:val="0"/>
        </w:rPr>
        <w:t xml:space="preserve">7. Síntese, hipóteses e limitações</w:t>
      </w:r>
      <w:r>
        <w:rPr>
          <w:rtl w:val="0"/>
        </w:rPr>
      </w:r>
    </w:p>
    <w:tbl>
      <w:tblPr>
        <w:tblStyle w:val="Table20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0"/>
        <w:gridCol w:w="2270"/>
        <w:gridCol w:w="2270"/>
        <w:gridCol w:w="2250"/>
        <w:tblGridChange w:id="0">
          <w:tblGrid>
            <w:gridCol w:w="2270"/>
            <w:gridCol w:w="2270"/>
            <w:gridCol w:w="2270"/>
            <w:gridCol w:w="2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Achado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Evidência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Hipótese (a investigar)</w:t>
            </w:r>
            <w:r>
              <w:rPr>
                <w:rtl w:val="0"/>
              </w:rPr>
            </w:r>
          </w:p>
        </w:tc>
        <w:tc>
          <w:tcPr>
            <w:tcBorders>
              <w:top w:color="333333" w:space="0" w:sz="8" w:val="single"/>
              <w:left w:color="000000" w:space="0" w:sz="0" w:val="nil"/>
              <w:bottom w:color="333333" w:space="0" w:sz="6" w:val="single"/>
              <w:right w:color="000000" w:space="0" w:sz="0" w:val="nil"/>
            </w:tcBorders>
            <w:shd w:fill="f4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Limitação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sz w:val="18"/>
                <w:szCs w:val="18"/>
                <w:rtl w:val="0"/>
              </w:rPr>
              <w:t xml:space="preserve">Colisão frontal é rara mas extremamente letal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4.739 registros (6,5% do total); 29,46% de % alvo — 4,1x a taxa global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Ausência de canteiro central em pistas simples aumenta a energia do impacto frontal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A base não registra a velocidade real no momento do acidente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>
              <w:rPr>
                <w:sz w:val="18"/>
                <w:szCs w:val="18"/>
                <w:rtl w:val="0"/>
              </w:rPr>
              <w:t xml:space="preserve">Pista simples concentra o dobro da letalidade da pista dupla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Simples: 9,86% de % alvo vs Dupla: 4,88%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Ausência de canteiro central facilita colisões frontais e ultrapassagens arriscadas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8f8f8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Volume de tráfego por tipo de pista não está disponível para normalizar a exposição ao risco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>
              <w:rPr>
                <w:sz w:val="18"/>
                <w:szCs w:val="18"/>
                <w:rtl w:val="0"/>
              </w:rPr>
              <w:t xml:space="preserve">Fins de semana concentram maior letalidade proporcional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Domingo: 8,87% de % alvo vs terça-feira: 6,47%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Maior velocidade média e possível consumo de álcool em deslocamentos de lazer nos fins de semana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4" w:val="single"/>
              <w:right w:color="000000" w:space="0" w:sz="0" w:val="nil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jc w:val="right"/>
              <w:rPr/>
            </w:pPr>
            <w:r>
              <w:rPr>
                <w:sz w:val="18"/>
                <w:szCs w:val="18"/>
                <w:rtl w:val="0"/>
              </w:rPr>
              <w:t xml:space="preserve">A causa "ingestão de álcool" depende do registro no boletim de ocorrência, sujeito a subnotificação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Erros a evitar na leitura deste relatório</w:t>
      </w:r>
      <w:r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2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Confundir volume com proporção do indicador-alvo (o grupo com mais registros nem sempre é o mais associado ao alvo).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2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Tratar percentuais de categorias com poucos registros como conclusão robusta — sempre olhar o volume junto.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2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Tratar correlação como causalidade, especialmente entre variáveis que compõem, por definição, o próprio alvo.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2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Generalizar um achado de um subgrupo, causa ou horário para o total sem checar se ele se repete em outros recortes.</w:t>
      </w:r>
    </w:p>
    <w:p w:rsidR="00000000" w:rsidDel="00000000" w:rsidP="00000000" w:rsidRDefault="00000000" w:rsidRPr="00000000" w14:paraId="00000125">
      <w:pPr>
        <w:spacing w:after="140" w:before="300" w:lineRule="auto"/>
        <w:rPr/>
      </w:pPr>
      <w:r>
        <w:rPr>
          <w:b w:val="1"/>
          <w:bCs w:val="1"/>
          <w:color w:val="1f5c99"/>
          <w:sz w:val="23"/>
          <w:szCs w:val="23"/>
          <w:rtl w:val="0"/>
        </w:rPr>
        <w:t xml:space="preserve">Limitações gerais da base</w:t>
      </w:r>
      <w:r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2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A base cobre acidentes registrados pela Polícia Rodoviária Federal em rodovias federais brasileiras em 2025; não inclui acidentes em vias estaduais, municipais ou não registrados pela PRF.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2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Campos como causa e tipo de acidente dependem do preenchimento manual do agente no boletim de ocorrência, sujeito a padronização variável entre regionais.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2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A análise é descritiva e associativa; não estabelece causalidade e não deve embasar decisões de engenharia ou fiscalização sozinha.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0" w:lineRule="auto"/>
        <w:ind w:left="420" w:right="0" w:hanging="26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26"/>
          <w:sz w:val="20"/>
          <w:szCs w:val="20"/>
          <w:u w:val="none"/>
          <w:shd w:fill="auto" w:val="clear"/>
          <w:vertAlign w:val="baseline"/>
          <w:rtl w:val="0"/>
        </w:rPr>
        <w:t xml:space="preserve">Registros com valores ausentes ou zerados em campos-chave foram mantidos como estão na base aberta; nenhuma imputação foi aplicada.</w:t>
      </w:r>
    </w:p>
    <w:p w:rsidR="00000000" w:rsidDel="00000000" w:rsidP="00000000" w:rsidRDefault="00000000" w:rsidRPr="00000000" w14:paraId="0000012A">
      <w:pPr>
        <w:spacing w:before="120" w:lineRule="auto"/>
        <w:rPr>
          <w:i w:val="1"/>
          <w:iCs w:val="1"/>
          <w:color w:val="6b6b6b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12B">
      <w:pPr>
        <w:spacing w:before="120" w:lineRule="auto"/>
        <w:rPr>
          <w:b w:val="1"/>
          <w:bCs w:val="1"/>
          <w:sz w:val="29"/>
          <w:szCs w:val="29"/>
        </w:rPr>
      </w:pPr>
      <w:r>
        <w:rPr>
          <w:b w:val="1"/>
          <w:bCs w:val="1"/>
          <w:sz w:val="29"/>
          <w:szCs w:val="29"/>
          <w:rtl w:val="0"/>
        </w:rPr>
        <w:t xml:space="preserve">EXTRA - 8 — Interpretação, hipóteses e limites</w:t>
      </w:r>
    </w:p>
    <w:p w:rsidR="00000000" w:rsidDel="00000000" w:rsidP="00000000" w:rsidRDefault="00000000" w:rsidRPr="00000000" w14:paraId="0000012C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D">
      <w:pPr>
        <w:spacing w:before="120" w:lineRule="auto"/>
        <w:rPr/>
      </w:pPr>
      <w:r>
        <w:rPr>
          <w:rtl w:val="0"/>
        </w:rPr>
        <w:t xml:space="preserve">Cada achado relevante segue o modelo:</w:t>
      </w:r>
    </w:p>
    <w:p w:rsidR="00000000" w:rsidDel="00000000" w:rsidP="00000000" w:rsidRDefault="00000000" w:rsidRPr="00000000" w14:paraId="0000012E">
      <w:pPr>
        <w:spacing w:before="120" w:lineRule="auto"/>
        <w:rPr/>
      </w:pPr>
      <w:r>
        <w:rPr>
          <w:rFonts w:ascii="Arial Unicode MS" w:cs="Arial Unicode MS" w:eastAsia="Arial Unicode MS" w:hAnsi="Arial Unicode MS"/>
          <w:rtl w:val="0"/>
        </w:rPr>
        <w:t xml:space="preserve">Achado → Evidência → Comparação com a taxa global → Hipótese → Limitação.</w:t>
      </w:r>
    </w:p>
    <w:p w:rsidR="00000000" w:rsidDel="00000000" w:rsidP="00000000" w:rsidRDefault="00000000" w:rsidRPr="00000000" w14:paraId="0000012F">
      <w:pPr>
        <w:spacing w:before="120" w:lineRule="auto"/>
        <w:rPr/>
      </w:pPr>
      <w:r>
        <w:rPr>
          <w:rtl w:val="0"/>
        </w:rPr>
      </w:r>
    </w:p>
    <w:tbl>
      <w:tblPr>
        <w:tblStyle w:val="Table2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9"/>
        <w:gridCol w:w="1350"/>
        <w:gridCol w:w="1270"/>
        <w:gridCol w:w="1687"/>
        <w:gridCol w:w="2706"/>
        <w:gridCol w:w="1586"/>
        <w:tblGridChange w:id="0">
          <w:tblGrid>
            <w:gridCol w:w="1029"/>
            <w:gridCol w:w="1350"/>
            <w:gridCol w:w="1270"/>
            <w:gridCol w:w="1687"/>
            <w:gridCol w:w="2706"/>
            <w:gridCol w:w="15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before="12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Registro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before="12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Achado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before="12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Evidência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before="12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Comparação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before="12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Hipótese(a investigar)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before="120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Limitação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before="120" w:lineRule="auto"/>
              <w:jc w:val="both"/>
              <w:rPr/>
            </w:pPr>
            <w:r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before="120" w:lineRule="auto"/>
              <w:jc w:val="both"/>
              <w:rPr/>
            </w:pPr>
            <w:r>
              <w:rPr>
                <w:rtl w:val="0"/>
              </w:rPr>
              <w:t xml:space="preserve">Bahia (BA), Pernambuco (PE) e Piauí (PI) têm as maiores letalidades entre as UF de maior volume</w:t>
            </w:r>
          </w:p>
          <w:p w:rsidR="00000000" w:rsidDel="00000000" w:rsidP="00000000" w:rsidRDefault="00000000" w:rsidRPr="00000000" w14:paraId="0000013A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before="120" w:lineRule="auto"/>
              <w:jc w:val="both"/>
              <w:rPr/>
            </w:pPr>
            <w:r>
              <w:rPr>
                <w:rtl w:val="0"/>
              </w:rPr>
              <w:t xml:space="preserve">~10–11,5%</w:t>
            </w:r>
          </w:p>
          <w:p w:rsidR="00000000" w:rsidDel="00000000" w:rsidP="00000000" w:rsidRDefault="00000000" w:rsidRPr="00000000" w14:paraId="0000013E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before="120" w:lineRule="auto"/>
              <w:jc w:val="both"/>
              <w:rPr/>
            </w:pPr>
            <w:r>
              <w:rPr>
                <w:rtl w:val="0"/>
              </w:rPr>
              <w:t xml:space="preserve">Acima da taxa global</w:t>
            </w:r>
          </w:p>
          <w:p w:rsidR="00000000" w:rsidDel="00000000" w:rsidP="00000000" w:rsidRDefault="00000000" w:rsidRPr="00000000" w14:paraId="00000142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before="120" w:lineRule="auto"/>
              <w:jc w:val="both"/>
              <w:rPr/>
            </w:pPr>
            <w:r>
              <w:rPr>
                <w:rtl w:val="0"/>
              </w:rPr>
              <w:t xml:space="preserve">Extensão de trechos de pista simples, iluminação e fiscalização podem variar por estado</w:t>
            </w:r>
          </w:p>
          <w:p w:rsidR="00000000" w:rsidDel="00000000" w:rsidP="00000000" w:rsidRDefault="00000000" w:rsidRPr="00000000" w14:paraId="00000145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before="120" w:lineRule="auto"/>
              <w:jc w:val="both"/>
              <w:rPr/>
            </w:pPr>
            <w:r>
              <w:rPr>
                <w:rtl w:val="0"/>
              </w:rPr>
              <w:t xml:space="preserve">UF com poucos acidentes no total podem ter percentuais instáveis; olhar sempre volume junto</w:t>
            </w:r>
          </w:p>
          <w:p w:rsidR="00000000" w:rsidDel="00000000" w:rsidP="00000000" w:rsidRDefault="00000000" w:rsidRPr="00000000" w14:paraId="00000147">
            <w:pPr>
              <w:spacing w:before="120" w:lineRule="auto"/>
              <w:jc w:val="both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before="120" w:lineRule="auto"/>
              <w:rPr/>
            </w:pPr>
            <w:r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before="120" w:lineRule="auto"/>
              <w:rPr/>
            </w:pPr>
            <w:r>
              <w:rPr>
                <w:rtl w:val="0"/>
              </w:rPr>
              <w:t xml:space="preserve">Colisão frontal é o tipo de acidente mais letal da base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before="120" w:lineRule="auto"/>
              <w:rPr/>
            </w:pPr>
            <w:r>
              <w:rPr>
                <w:rtl w:val="0"/>
              </w:rPr>
              <w:t xml:space="preserve">4.739 registros (6,5% do total); 29,46% de % alvo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120" w:lineRule="auto"/>
              <w:rPr/>
            </w:pPr>
            <w:r>
              <w:rPr>
                <w:rtl w:val="0"/>
              </w:rPr>
              <w:t xml:space="preserve">~4,1x acima da taxa global (7,18%)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before="120" w:lineRule="auto"/>
              <w:rPr/>
            </w:pPr>
            <w:r>
              <w:rPr>
                <w:rtl w:val="0"/>
              </w:rPr>
              <w:t xml:space="preserve">Ausência de canteiro central em pistas simples aumenta a energia do impacto frontal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before="120" w:lineRule="auto"/>
              <w:rPr/>
            </w:pPr>
            <w:r>
              <w:rPr>
                <w:rtl w:val="0"/>
              </w:rPr>
              <w:t xml:space="preserve">A base não registra a velocidade real no momento do acidente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before="120" w:lineRule="auto"/>
              <w:rPr/>
            </w:pPr>
            <w:r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before="120" w:lineRule="auto"/>
              <w:rPr/>
            </w:pPr>
            <w:r>
              <w:rPr>
                <w:rtl w:val="0"/>
              </w:rPr>
              <w:t xml:space="preserve">Transitar na contramão é a causa mais associada à letalidade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before="120" w:lineRule="auto"/>
              <w:rPr/>
            </w:pPr>
            <w:r>
              <w:rPr>
                <w:rtl w:val="0"/>
              </w:rPr>
              <w:t xml:space="preserve">2.475 registros; 29,74% de % alvo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before="120" w:lineRule="auto"/>
              <w:rPr/>
            </w:pPr>
            <w:r>
              <w:rPr>
                <w:rtl w:val="0"/>
              </w:rPr>
              <w:t xml:space="preserve">~4,1x acima da taxa global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before="120" w:lineRule="auto"/>
              <w:rPr/>
            </w:pPr>
            <w:r>
              <w:rPr>
                <w:rtl w:val="0"/>
              </w:rPr>
              <w:t xml:space="preserve">Manobra evitável associada a colisões frontais de alta energia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before="120" w:lineRule="auto"/>
              <w:rPr/>
            </w:pPr>
            <w:r>
              <w:rPr>
                <w:rtl w:val="0"/>
              </w:rPr>
              <w:t xml:space="preserve">Causa depende do registro do agente no boletim, sujeita a padronização variável entre regionais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before="120" w:lineRule="auto"/>
              <w:rPr/>
            </w:pPr>
            <w:r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before="120" w:lineRule="auto"/>
              <w:rPr/>
            </w:pPr>
            <w:r>
              <w:rPr>
                <w:rtl w:val="0"/>
              </w:rPr>
              <w:t xml:space="preserve">Pista simples concentra o dobro da letalidade da pista dupla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before="120" w:lineRule="auto"/>
              <w:rPr/>
            </w:pPr>
            <w:r>
              <w:rPr>
                <w:rtl w:val="0"/>
              </w:rPr>
              <w:t xml:space="preserve">Simples: 9,86% de % alvo; Dupla: 4,88%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before="120" w:lineRule="auto"/>
              <w:rPr/>
            </w:pPr>
            <w:r>
              <w:rPr>
                <w:rtl w:val="0"/>
              </w:rPr>
              <w:t xml:space="preserve">Simples ~1,4x acima da taxa global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before="120" w:lineRule="auto"/>
              <w:rPr/>
            </w:pPr>
            <w:r>
              <w:rPr>
                <w:rtl w:val="0"/>
              </w:rPr>
              <w:t xml:space="preserve">Ausência de canteiro central facilita colisões frontais e ultrapassagens arriscadas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before="120" w:lineRule="auto"/>
              <w:rPr/>
            </w:pPr>
            <w:r>
              <w:rPr>
                <w:rtl w:val="0"/>
              </w:rPr>
              <w:t xml:space="preserve">Volume de tráfego por tipo de pista não está disponível para normalizar a exposição ao risco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before="120" w:lineRule="auto"/>
              <w:rPr/>
            </w:pPr>
            <w:r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before="120" w:lineRule="auto"/>
              <w:rPr/>
            </w:pPr>
            <w:r>
              <w:rPr>
                <w:rtl w:val="0"/>
              </w:rPr>
              <w:t xml:space="preserve">Amanhecer é o turno mais letal do dia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before="120" w:lineRule="auto"/>
              <w:rPr/>
            </w:pPr>
            <w:r>
              <w:rPr>
                <w:rtl w:val="0"/>
              </w:rPr>
              <w:t xml:space="preserve">3.447 registros; 11,20% de % alvo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before="120" w:lineRule="auto"/>
              <w:rPr/>
            </w:pPr>
            <w:r>
              <w:rPr>
                <w:rtl w:val="0"/>
              </w:rPr>
              <w:t xml:space="preserve">~1,6x acima da taxa global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before="120" w:lineRule="auto"/>
              <w:rPr/>
            </w:pPr>
            <w:r>
              <w:rPr>
                <w:rtl w:val="0"/>
              </w:rPr>
              <w:t xml:space="preserve">Baixa visibilidade e fadiga do condutor no início do dia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before="120" w:lineRule="auto"/>
              <w:rPr/>
            </w:pPr>
            <w:r>
              <w:rPr>
                <w:rtl w:val="0"/>
              </w:rPr>
              <w:t xml:space="preserve">O turno é uma faixa horária estimada, não medida por sensor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before="120" w:lineRule="auto"/>
              <w:rPr/>
            </w:pPr>
            <w:r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before="120" w:lineRule="auto"/>
              <w:rPr/>
            </w:pPr>
            <w:r>
              <w:rPr>
                <w:rtl w:val="0"/>
              </w:rPr>
              <w:t xml:space="preserve">Domingo concentra a maior letalidade proporcional da semana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before="120" w:lineRule="auto"/>
              <w:rPr/>
            </w:pPr>
            <w:r>
              <w:rPr>
                <w:rtl w:val="0"/>
              </w:rPr>
              <w:t xml:space="preserve">11.470 registros; 8,87% de % alvo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before="120" w:lineRule="auto"/>
              <w:rPr/>
            </w:pPr>
            <w:r>
              <w:rPr>
                <w:rtl w:val="0"/>
              </w:rPr>
              <w:t xml:space="preserve">~1,2x acima da taxa global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before="120" w:lineRule="auto"/>
              <w:rPr/>
            </w:pPr>
            <w:r>
              <w:rPr>
                <w:rtl w:val="0"/>
              </w:rPr>
              <w:t xml:space="preserve">Maior velocidade média e possível consumo de álcool em deslocamentos de lazer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before="120" w:lineRule="auto"/>
              <w:rPr/>
            </w:pPr>
            <w:r>
              <w:rPr>
                <w:rtl w:val="0"/>
              </w:rPr>
              <w:t xml:space="preserve">A causa “ingestão de álcool” depende do registro no boletim, sujeita a subnotificação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before="120" w:lineRule="auto"/>
              <w:rPr/>
            </w:pPr>
            <w:r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before="120" w:lineRule="auto"/>
              <w:rPr/>
            </w:pPr>
            <w:r>
              <w:rPr>
                <w:rtl w:val="0"/>
              </w:rPr>
              <w:t xml:space="preserve">Atropelamento de pedestre em dia nublado é a combinação mais crítica entre tipo e condição meteorológica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before="120" w:lineRule="auto"/>
              <w:rPr/>
            </w:pPr>
            <w:r>
              <w:rPr>
                <w:rtl w:val="0"/>
              </w:rPr>
              <w:t xml:space="preserve">565 registros; 31,15% de % alvo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before="120" w:lineRule="auto"/>
              <w:rPr/>
            </w:pPr>
            <w:r>
              <w:rPr>
                <w:rtl w:val="0"/>
              </w:rPr>
              <w:t xml:space="preserve">~4,3x acima da taxa global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before="120" w:lineRule="auto"/>
              <w:rPr/>
            </w:pPr>
            <w:r>
              <w:rPr>
                <w:rtl w:val="0"/>
              </w:rPr>
              <w:t xml:space="preserve">Menor visibilidade do pedestre e possível redução de atenção do condutor em dias nublados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before="120" w:lineRule="auto"/>
              <w:rPr/>
            </w:pPr>
            <w:r>
              <w:rPr>
                <w:rtl w:val="0"/>
              </w:rPr>
              <w:t xml:space="preserve">Amostra relativamente pequena (565 registros); requer cautela na generalização</w:t>
            </w:r>
          </w:p>
        </w:tc>
      </w:tr>
    </w:tbl>
    <w:p w:rsidR="00000000" w:rsidDel="00000000" w:rsidP="00000000" w:rsidRDefault="00000000" w:rsidRPr="00000000" w14:paraId="0000016C">
      <w:pPr>
        <w:spacing w:before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D">
      <w:pPr>
        <w:spacing w:before="120" w:lineRule="auto"/>
        <w:rPr/>
      </w:pPr>
      <w:r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pBdr>
        <w:top w:color="d9d9d9" w:space="0" w:sz="4" w:val="single"/>
      </w:pBdr>
      <w:spacing w:before="120" w:lineRule="auto"/>
      <w:jc w:val="center"/>
      <w:rPr/>
    </w:pPr>
    <w:r w:rsidDel="00000000" w:rsidR="00000000" w:rsidRPr="00000000">
      <w:rPr>
        <w:color w:val="6b6b6b"/>
        <w:sz w:val="14"/>
        <w:szCs w:val="14"/>
        <w:rtl w:val="0"/>
      </w:rPr>
      <w:t xml:space="preserve">Relatório Análitico</w:t>
    </w:r>
    <w:r w:rsidDel="00000000" w:rsidR="00000000" w:rsidRPr="00000000">
      <w:rPr>
        <w:color w:val="6b6b6b"/>
        <w:sz w:val="15"/>
        <w:szCs w:val="15"/>
        <w:rtl w:val="0"/>
      </w:rPr>
      <w:t xml:space="preserve"> / Aponti   ·   Página </w:t>
    </w:r>
    <w:r w:rsidDel="00000000" w:rsidR="00000000" w:rsidRPr="00000000">
      <w:rPr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6b6b"/>
        <w:sz w:val="15"/>
        <w:szCs w:val="15"/>
        <w:rtl w:val="0"/>
      </w:rPr>
      <w:t xml:space="preserve"> de </w:t>
    </w:r>
    <w:r w:rsidDel="00000000" w:rsidR="00000000" w:rsidRPr="00000000">
      <w:rPr>
        <w:color w:val="6b6b6b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62626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6262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Chart1" Type="http://schemas.openxmlformats.org/officeDocument/2006/relationships/image" Target="media/chart1.png"/><Relationship Id="rIdChart2" Type="http://schemas.openxmlformats.org/officeDocument/2006/relationships/image" Target="media/chart2.png"/><Relationship Id="rIdChart3" Type="http://schemas.openxmlformats.org/officeDocument/2006/relationships/image" Target="media/chart3.png"/><Relationship Id="rIdChart4" Type="http://schemas.openxmlformats.org/officeDocument/2006/relationships/image" Target="media/chart4.png"/><Relationship Id="rIdChart5" Type="http://schemas.openxmlformats.org/officeDocument/2006/relationships/image" Target="media/chart5.png"/><Relationship Id="rIdChart6" Type="http://schemas.openxmlformats.org/officeDocument/2006/relationships/image" Target="media/chart6.png"/><Relationship Id="rIdChart7" Type="http://schemas.openxmlformats.org/officeDocument/2006/relationships/image" Target="media/chart7.png"/><Relationship Id="rIdChart8" Type="http://schemas.openxmlformats.org/officeDocument/2006/relationships/image" Target="media/chart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