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9.png" ContentType="image/png"/>
  <Override PartName="/word/media/image12.png" ContentType="image/png"/>
  <Override PartName="/word/media/image7.png" ContentType="image/png"/>
  <Override PartName="/word/media/image16.jpeg" ContentType="image/jpeg"/>
  <Override PartName="/word/media/image15.png" ContentType="image/png"/>
  <Override PartName="/word/media/image14.png" ContentType="image/png"/>
  <Override PartName="/word/media/image1.png" ContentType="image/png"/>
  <Override PartName="/word/media/image2.jpeg" ContentType="image/jpeg"/>
  <Override PartName="/word/media/image17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10.png" ContentType="image/png"/>
  <Override PartName="/word/media/image6.jpeg" ContentType="image/jpe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/>
      </w:pPr>
      <w:r>
        <w:rPr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2"/>
        <w:rPr/>
      </w:pPr>
      <w:r>
        <w:rPr/>
        <w:t>ECOSISTEMA HADOOP</w:t>
      </w:r>
    </w:p>
    <w:p>
      <w:pPr>
        <w:pStyle w:val="Normal"/>
        <w:rPr/>
      </w:pPr>
      <w:r>
        <w:rPr/>
      </w:r>
    </w:p>
    <w:p>
      <w:pPr>
        <w:pStyle w:val="Ttulo3"/>
        <w:rPr>
          <w:rStyle w:val="SubtleReference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b w:val="false"/>
          <w:bCs w:val="false"/>
          <w:color w:val="auto"/>
        </w:rPr>
        <w:t>EJERCICIO 1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Rellena la siguiente tabla: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tbl>
      <w:tblPr>
        <w:tblStyle w:val="Tabladelista3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2263"/>
        <w:gridCol w:w="6670"/>
        <w:gridCol w:w="1533"/>
      </w:tblGrid>
      <w:tr>
        <w:trPr>
          <w:trHeight w:val="39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tcBorders/>
            <w:shd w:color="auto" w:fill="92278F" w:themeFill="accent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 w:cs="Calibri"/>
                <w:b/>
                <w:bCs/>
                <w:color w:val="FFFFFF"/>
                <w:kern w:val="0"/>
                <w:lang w:val="es-ES" w:eastAsia="en-US" w:bidi="ar-SA"/>
              </w:rPr>
              <w:t>NOMBRE</w:t>
            </w:r>
          </w:p>
        </w:tc>
        <w:tc>
          <w:tcPr>
            <w:tcW w:w="6670" w:type="dxa"/>
            <w:tcBorders/>
            <w:shd w:color="auto" w:fill="92278F" w:themeFill="accent1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Calibri" w:hAnsi="Calibri" w:cs="Calibri"/>
              </w:rPr>
            </w:pPr>
            <w:r>
              <w:rPr>
                <w:rFonts w:eastAsia="" w:cs="Calibri"/>
                <w:b/>
                <w:bCs/>
                <w:color w:val="FFFFFF"/>
                <w:kern w:val="0"/>
                <w:lang w:val="es-ES" w:eastAsia="en-US" w:bidi="ar-SA"/>
              </w:rPr>
              <w:t>DESCRIPCIÓN</w:t>
            </w:r>
          </w:p>
        </w:tc>
        <w:tc>
          <w:tcPr>
            <w:tcW w:w="1533" w:type="dxa"/>
            <w:tcBorders/>
            <w:shd w:color="auto" w:fill="92278F" w:themeFill="accent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 w:cs="Calibri"/>
                <w:b/>
                <w:bCs/>
                <w:color w:val="FFFFFF"/>
                <w:kern w:val="0"/>
                <w:lang w:val="es-ES" w:eastAsia="en-US" w:bidi="ar-SA"/>
              </w:rPr>
              <w:t>LOGOTIPO</w:t>
            </w:r>
          </w:p>
        </w:tc>
      </w:tr>
      <w:tr>
        <w:trPr>
          <w:trHeight w:val="107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Hive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Calibri" w:hAnsi="Calibri" w:eastAsia="" w:cs="Calibri"/>
                <w:color w:val="111111" w:themeTint="66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" w:cs="Calibri"/>
                <w:color w:val="111111" w:themeTint="66"/>
                <w:kern w:val="0"/>
                <w:sz w:val="24"/>
                <w:szCs w:val="24"/>
                <w:lang w:val="es-ES" w:eastAsia="en-US" w:bidi="ar-SA"/>
              </w:rPr>
              <w:t>Data warehouse que facilita la lectura, escritura y gestión de grandes conjuntos de datos almacenados en sistemas distribuidos, utilizando una sintaxis similar a SQL (HiveQL).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676275" cy="607695"/>
                  <wp:effectExtent l="0" t="0" r="0" b="0"/>
                  <wp:docPr id="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Pig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Plataforma que permite analizar grandes conjuntos de datos mediante scripts escritos en Pig Latin, un lenguaje de alto nivel.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840105" cy="365760"/>
                  <wp:effectExtent l="0" t="0" r="0" b="0"/>
                  <wp:docPr id="2" name="Picture 12" descr="Apache Pig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2" descr="Apache Pig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HBase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Base de datos distribuida, no relacional, que permite el almacenamiento de grandes volúmenes de datos organizados por columnas, compatible con Apache Hadoop.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779780" cy="215900"/>
                  <wp:effectExtent l="0" t="0" r="0" b="0"/>
                  <wp:docPr id="3" name="Picture 14" descr="Apache HBase – Big Data Dum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Apache HBase – Big Data Dum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Flume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Servicio que facilita la recolección, agregación y movimiento de grandes cantidades de datos generados de manera continua, como logs o eventos.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567055" cy="385445"/>
                  <wp:effectExtent l="0" t="0" r="0" b="0"/>
                  <wp:docPr id="4" name="Picture 16" descr="Get to Know Apache Flume from Scratch! - Analytics Vidh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6" descr="Get to Know Apache Flume from Scratch! - Analytics Vidh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Sqoop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Herramienta que permite la transferencia de datos entre bases de datos relacionales y Hadoop.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875030" cy="222885"/>
                  <wp:effectExtent l="0" t="0" r="0" b="0"/>
                  <wp:docPr id="5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4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Oozie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Coordinador de flujos de trabajo y servicios, utilizado para gestionar flujos de trabajo y dependencias en el ecosistema Hadoop.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948055" cy="227330"/>
                  <wp:effectExtent l="0" t="0" r="0" b="0"/>
                  <wp:docPr id="6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kern w:val="0"/>
                <w:lang w:val="es-ES" w:eastAsia="en-US" w:bidi="ar-SA"/>
              </w:rPr>
              <w:t>Apache ZooKeeper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Servicio centralizado para gestionar configuraciones, sincronización y coordinación entre servicios distribuidos.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691515" cy="374015"/>
                  <wp:effectExtent l="0" t="0" r="0" b="0"/>
                  <wp:docPr id="7" name="Picture 24" descr="Apache ZooKeeper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4" descr="Apache ZooKeeper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Storm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Sistema para procesamiento de flujos de datos en tiempo real, con baja latencia, distribuido y tolerante a fallos.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824865" cy="273685"/>
                  <wp:effectExtent l="0" t="0" r="0" b="0"/>
                  <wp:docPr id="8" name="Picture 4" descr="Apache Storm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Apache Storm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Spark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Framework para procesamiento de grandes volúmenes de datos, tanto en batch como en streaming, optimizado para alta velocidad y utilizando procesamiento en memoria.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840105" cy="436245"/>
                  <wp:effectExtent l="0" t="0" r="0" b="0"/>
                  <wp:docPr id="9" name="Picture 8" descr="Apache Spar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pache Spar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Kafka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Plataforma de mensajería distribuida que permite procesar flujos de datos en tiempo real, facilitando la publicación, suscripción y almacenamiento de datos de forma distribuida.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784860" cy="365125"/>
                  <wp:effectExtent l="0" t="0" r="0" b="0"/>
                  <wp:docPr id="10" name="Picture 10" descr="Apache Kaf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pache Kaf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26524" r="0" b="270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Atlas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Herramienta para la gestión y gobernanza de metadatos en entornos de big data, facilitando la clasificación, catalogación y auditoría de datos.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681355" cy="124460"/>
                  <wp:effectExtent l="0" t="0" r="0" b="0"/>
                  <wp:docPr id="11" name="Imagen2" descr="Apache Atlas – Data Governance and Metadata framework for Had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" descr="Apache Atlas – Data Governance and Metadata framework for Had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80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Mahout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Herramienta para crear algoritmos de machine learning escalables, con un enfoque en análisis colaborativo, clasificación y clustering.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749935" cy="179705"/>
                  <wp:effectExtent l="0" t="0" r="0" b="0"/>
                  <wp:docPr id="12" name="Imagen3" descr="Apache Mah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" descr="Apache Mah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Phoenix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Base de datos SQL sobre Apache HBase que permite consultas SQL nativas y OLTP (Online Transaction Processing).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881380" cy="237490"/>
                  <wp:effectExtent l="0" t="0" r="0" b="0"/>
                  <wp:docPr id="13" name="Picture 22" descr="Overview | Apache Phoen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2" descr="Overview | Apache Phoen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Impala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Motor SQL de código abierto para procesar consultas SQL en tiempo real en Hadoop. Ofrece tiempos de respuesta muy rápidos en grandes volúmenes de datos.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644525" cy="441960"/>
                  <wp:effectExtent l="0" t="0" r="0" b="0"/>
                  <wp:docPr id="14" name="Imagen4" descr="Apache Hive vs Apache Impala: principales diferencias - Geekfl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4" descr="Apache Hive vs Apache Impala: principales diferencias - Geekfl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 w:themeColor="dark1"/>
                <w:kern w:val="2"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Nifi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Herramienta para automatizar el flujo de datos entre sistemas, con capacidades de transformación, enrutamiento y carga de datos en tiempo real.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600710" cy="249555"/>
                  <wp:effectExtent l="0" t="0" r="0" b="0"/>
                  <wp:docPr id="15" name="Imagen 3" descr="Apache Nifi. Flujo de datos y ETL/ELT en Streaming. - Inteligencia  Artificial y Big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3" descr="Apache Nifi. Flujo de datos y ETL/ELT en Streaming. - Inteligencia  Artificial y Big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94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 w:themeColor="dark1"/>
                <w:kern w:val="2"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Apache Ambari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Plataforma de gestión de clústeres Hadoop que simplifica el aprovisionamiento, monitoreo y mantenimiento de clústeres de Apache Hadoop.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943610" cy="283210"/>
                  <wp:effectExtent l="0" t="0" r="0" b="0"/>
                  <wp:docPr id="16" name="Imagen 1" descr="Ambari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" descr="Ambari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9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 w:themeColor="dark1"/>
                <w:kern w:val="2"/>
              </w:rPr>
            </w:pPr>
            <w:r>
              <w:rPr>
                <w:rFonts w:eastAsia="" w:cs="Calibri"/>
                <w:b/>
                <w:bCs/>
                <w:color w:val="000000" w:themeColor="dark1"/>
                <w:kern w:val="2"/>
                <w:lang w:val="es-ES" w:eastAsia="en-US" w:bidi="ar-SA"/>
              </w:rPr>
              <w:t>Mapreduce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Modelo de programación que permite el procesamiento distribuido de grandes cantidades de datos utilizando clústeres de computadoras. Los trabajos se dividen en tareas de mapeo y reducción para manejar datos a gran escala.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eastAsia=""/>
                <w:kern w:val="0"/>
                <w:lang w:val="es-ES" w:eastAsia="en-US" w:bidi="ar-SA"/>
              </w:rPr>
              <w:drawing>
                <wp:inline distT="0" distB="0" distL="0" distR="0">
                  <wp:extent cx="726440" cy="252095"/>
                  <wp:effectExtent l="0" t="0" r="0" b="0"/>
                  <wp:docPr id="17" name="Imagen 2" descr="Hadoop Ecosystem | Hadoop Tools for Crunching Big Data |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2" descr="Hadoop Ecosystem | Hadoop Tools for Crunching Big Data |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4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9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UD 2_1</w:t>
      <w:tab/>
      <w:tab/>
    </w:r>
    <w:r>
      <w:rPr>
        <w:b/>
        <w:bCs/>
        <w:color w:val="92278F" w:themeColor="accent1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2</w:t>
    </w:r>
    <w:r>
      <w:rPr>
        <w:b/>
        <w:bCs/>
        <w:color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 w:val="fals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966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semiHidden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b096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396</Words>
  <Characters>2376</Characters>
  <CharactersWithSpaces>2731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2024-10-08T11:05:00Z</dcterms:created>
  <dc:creator>UD 7_3</dc:creator>
  <dc:description/>
  <dc:language>es-ES</dc:language>
  <cp:lastModifiedBy/>
  <cp:lastPrinted>2021-12-12T21:46:00Z</cp:lastPrinted>
  <dcterms:modified xsi:type="dcterms:W3CDTF">2024-10-21T16:14:21Z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