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sz w:val="72"/>
          <w:szCs w:val="72"/>
          <w:rtl w:val="0"/>
        </w:rPr>
        <w:t xml:space="preserve">Manual do aplicativo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1599727</wp:posOffset>
            </wp:positionH>
            <wp:positionV relativeFrom="paragraph">
              <wp:posOffset>634700</wp:posOffset>
            </wp:positionV>
            <wp:extent cx="2180273" cy="913791"/>
            <wp:effectExtent b="9525" l="9525" r="9525" t="9525"/>
            <wp:wrapSquare wrapText="bothSides" distB="0" distT="0" distL="114300" distR="114300"/>
            <wp:docPr id="1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59676" l="17559" r="14285" t="25344"/>
                    <a:stretch>
                      <a:fillRect/>
                    </a:stretch>
                  </pic:blipFill>
                  <pic:spPr>
                    <a:xfrm>
                      <a:off x="0" y="0"/>
                      <a:ext cx="2180273" cy="913791"/>
                    </a:xfrm>
                    <a:prstGeom prst="rect"/>
                    <a:ln w="9525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Conteúdo</w:t>
      </w:r>
    </w:p>
    <w:p w:rsidR="00000000" w:rsidDel="00000000" w:rsidP="00000000" w:rsidRDefault="00000000" w:rsidRPr="00000000" w14:paraId="00000012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Tela de Login............................................................................................3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Menu Principal..........................................................................................4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Preencher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formulário...............................................................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72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Informações sobre o cliente…………………………..6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72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Informações sobre o ambiente……………………….6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Coletas……...………………………...……………………………….7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Perfil…………………………………………………………………….8</w:t>
      </w:r>
    </w:p>
    <w:p w:rsidR="00000000" w:rsidDel="00000000" w:rsidP="00000000" w:rsidRDefault="00000000" w:rsidRPr="00000000" w14:paraId="0000001A">
      <w:pPr>
        <w:pageBreakBefore w:val="0"/>
        <w:spacing w:after="0" w:lineRule="auto"/>
        <w:ind w:left="425.196850393700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 Download do formulário em PDF…………………………….……….…..…8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Tela de Login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2560320" cy="4705350"/>
            <wp:effectExtent b="12700" l="12700" r="12700" t="12700"/>
            <wp:wrapSquare wrapText="bothSides" distB="0" distT="0" distL="114300" distR="11430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4705350"/>
                    </a:xfrm>
                    <a:prstGeom prst="rect"/>
                    <a:ln w="12700">
                      <a:solidFill>
                        <a:srgbClr val="7F7F7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pageBreakBefore w:val="0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 tela de Login solicita 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e-mail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senha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do usuário que são necessários para o acesso do aplicativo. Caso já possua um usuário de e-mail e senha cadastrado, basta preencher os campos e-mail e senha e clicar em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‘Entrar’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3">
      <w:pPr>
        <w:pageBreakBefore w:val="0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campo de e-mail deve ser de um e-mail válido, pois é para este e-mail que será enviada a senha, caso o usuário esqueça qual senha cadastrou no aplicativo e deseje revê-la. </w:t>
      </w:r>
    </w:p>
    <w:p w:rsidR="00000000" w:rsidDel="00000000" w:rsidP="00000000" w:rsidRDefault="00000000" w:rsidRPr="00000000" w14:paraId="00000034">
      <w:pPr>
        <w:pageBreakBefore w:val="0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Após clicar no botão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‘Entrar’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aguarde a autenticação do usuário e então será exibido o menu principal. </w:t>
      </w:r>
    </w:p>
    <w:p w:rsidR="00000000" w:rsidDel="00000000" w:rsidP="00000000" w:rsidRDefault="00000000" w:rsidRPr="00000000" w14:paraId="00000035">
      <w:pPr>
        <w:pageBreakBefore w:val="0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Menu Principal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2971800</wp:posOffset>
            </wp:positionH>
            <wp:positionV relativeFrom="paragraph">
              <wp:posOffset>457200</wp:posOffset>
            </wp:positionV>
            <wp:extent cx="2419350" cy="5005070"/>
            <wp:effectExtent b="12700" l="12700" r="12700" t="12700"/>
            <wp:wrapSquare wrapText="bothSides" distB="114300" distT="114300" distL="114300" distR="1143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463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00507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pageBreakBefore w:val="0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 é a tela de menu principal do aplicativo. </w:t>
      </w:r>
    </w:p>
    <w:p w:rsidR="00000000" w:rsidDel="00000000" w:rsidP="00000000" w:rsidRDefault="00000000" w:rsidRPr="00000000" w14:paraId="00000049">
      <w:pPr>
        <w:pageBreakBefore w:val="0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Ela possui os atalhos para as ferramentas disponíveis para o novo preenchimento de um formulário de visita técnica e os botões de rodapé que dão acesso à tela de perfil e o de retorno à tela de menu principal. </w:t>
      </w:r>
    </w:p>
    <w:p w:rsidR="00000000" w:rsidDel="00000000" w:rsidP="00000000" w:rsidRDefault="00000000" w:rsidRPr="00000000" w14:paraId="0000004A">
      <w:pPr>
        <w:pageBreakBefore w:val="0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Abaixo uma breve descrição de cada item deste menu: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‘+’ - Preencher formulário: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Abre a tela que exibe os campos necessários para o preenchimento do formulário de visita técnica e armazená-lo devidamente.</w:t>
      </w:r>
    </w:p>
    <w:p w:rsidR="00000000" w:rsidDel="00000000" w:rsidP="00000000" w:rsidRDefault="00000000" w:rsidRPr="00000000" w14:paraId="0000004C">
      <w:pPr>
        <w:pageBreakBefore w:val="0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Botões de rodapé: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Coletas: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o usuário esteja em outra tela, esse atalho o redireciona para o Menu principal. Caso o usuário já esteja na tela de Menu principal, esse atalho serve para recarregar a tela.  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Home: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Exibe na tela o atalho de ‘Sair’ que permite que o usuário se desconecte do aplicativo, redirecionando-o para a tela Login.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ind w:left="3600" w:firstLine="720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314325</wp:posOffset>
            </wp:positionV>
            <wp:extent cx="2390775" cy="4734243"/>
            <wp:effectExtent b="12700" l="12700" r="12700" t="12700"/>
            <wp:wrapSquare wrapText="bothSides" distB="114300" distT="114300" distL="114300" distR="11430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73424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pageBreakBefore w:val="0"/>
        <w:ind w:left="3600" w:firstLine="72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2.1 Preencher formulário</w:t>
      </w:r>
    </w:p>
    <w:p w:rsidR="00000000" w:rsidDel="00000000" w:rsidP="00000000" w:rsidRDefault="00000000" w:rsidRPr="00000000" w14:paraId="0000005A">
      <w:pPr>
        <w:pageBreakBefore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 tela exibe os campos necessários para que o usuário possa preencher o formulário de visita técnica. </w:t>
      </w:r>
    </w:p>
    <w:p w:rsidR="00000000" w:rsidDel="00000000" w:rsidP="00000000" w:rsidRDefault="00000000" w:rsidRPr="00000000" w14:paraId="0000005B">
      <w:pPr>
        <w:pageBreakBefore w:val="0"/>
        <w:ind w:left="360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campos sinalizados com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(*)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são considerados obrigatórios e não é possível avançar para a tela seguinte e dar prosseguimento ao preenchimento do formulário sem preenchê-los.</w:t>
      </w:r>
    </w:p>
    <w:p w:rsidR="00000000" w:rsidDel="00000000" w:rsidP="00000000" w:rsidRDefault="00000000" w:rsidRPr="00000000" w14:paraId="0000005C">
      <w:pPr>
        <w:pageBreakBefore w:val="0"/>
        <w:ind w:left="360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botões de rodapé são: 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"/>
        </w:numPr>
        <w:spacing w:after="0" w:afterAutospacing="0"/>
        <w:ind w:left="1133.858267716535" w:hanging="566.929133858267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Cancelar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que redireciona o usuário para o Menu principal e descarta esse formulário que ainda não foi totalmente preenchido;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"/>
        </w:numPr>
        <w:ind w:left="1133.858267716535" w:hanging="566.929133858267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Avançar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que redireciona o usuário para a próxima tela do formulário, caso todos os campos obrigatórios tenham sido preenchidos corretamente.</w:t>
      </w:r>
    </w:p>
    <w:p w:rsidR="00000000" w:rsidDel="00000000" w:rsidP="00000000" w:rsidRDefault="00000000" w:rsidRPr="00000000" w14:paraId="0000005F">
      <w:pPr>
        <w:pageBreakBefore w:val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2.1.1 Informações sobre o cliente</w:t>
      </w:r>
    </w:p>
    <w:p w:rsidR="00000000" w:rsidDel="00000000" w:rsidP="00000000" w:rsidRDefault="00000000" w:rsidRPr="00000000" w14:paraId="00000060">
      <w:pPr>
        <w:pageBreakBefore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Na primeira tela, temos as “Informações sobre o cliente”, com os campos: ‘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que corresponde à data em que a visita técnica está sendo realizada; ‘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Tipo de cliente’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Pessoa física ou Pessoa jurídica; ‘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 do cliente’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 ‘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Razão social’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‘Responsável’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 ‘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Telefone’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 ‘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CPF’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ou ‘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CNPJ’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 ‘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E-mail’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 e ‘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Endereço’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1">
      <w:pPr>
        <w:pageBreakBefore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2.1.2 Informações sobre o ambiente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3295650</wp:posOffset>
            </wp:positionH>
            <wp:positionV relativeFrom="paragraph">
              <wp:posOffset>114300</wp:posOffset>
            </wp:positionV>
            <wp:extent cx="2257425" cy="4219575"/>
            <wp:effectExtent b="12700" l="12700" r="12700" t="12700"/>
            <wp:wrapSquare wrapText="bothSides" distB="114300" distT="114300" distL="114300" distR="11430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2195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pageBreakBefore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segunda tela, temos as “Informações sobre o ambiente”, com os campos: ‘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Material de estrutura do telhado’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Madeira ou Metálica; ‘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Condições do telhado’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Boa ou Ruim; ‘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Orientação do telhado’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Norte, Sul, Leste ou Oeste; e ‘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Foto da orientação do telhado’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opção de anexo de foto do telhado fornecida pelo usuário.</w:t>
      </w:r>
    </w:p>
    <w:p w:rsidR="00000000" w:rsidDel="00000000" w:rsidP="00000000" w:rsidRDefault="00000000" w:rsidRPr="00000000" w14:paraId="0000006D">
      <w:pPr>
        <w:pageBreakBefore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</wp:posOffset>
            </wp:positionH>
            <wp:positionV relativeFrom="paragraph">
              <wp:posOffset>342900</wp:posOffset>
            </wp:positionV>
            <wp:extent cx="2371725" cy="4133850"/>
            <wp:effectExtent b="12700" l="12700" r="12700" t="12700"/>
            <wp:wrapSquare wrapText="bothSides" distB="114300" distT="114300" distL="114300" distR="114300"/>
            <wp:docPr id="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1338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pageBreakBefore w:val="0"/>
        <w:ind w:left="360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terceira tela, temos a continuação das “Informações sobre o ambiente”, com os campos: ‘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Padrão de entrada’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Monofásico, Bifásico ou Trifásico;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‘Foto do padrão de entrada’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opção de anexo de foto do padrão de entrada fornecida pelo usuário; ‘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Amperagem do disjuntor de entrada’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‘Condição do padrão de entrada’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Boa ou Adequação; 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‘Local de instalação dos módulos’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Telhado, Laje ou Solo.</w:t>
      </w:r>
    </w:p>
    <w:p w:rsidR="00000000" w:rsidDel="00000000" w:rsidP="00000000" w:rsidRDefault="00000000" w:rsidRPr="00000000" w14:paraId="00000077">
      <w:pPr>
        <w:pageBreakBefore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quarta tela, temos a continuação das “Informações sobre o ambiente”, com os campos: ‘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Dimensões úteis’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 ‘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Comprimento do telhado’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Em metros; ‘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Altura do telhado’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Em metros;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‘Acesso ao telhado’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Em até 5 metros, com as opções “Escada” e “Andaime”;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‘Foto de acesso ao telhado’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 opção de anexo de foto do telhado fornecida pelo usuário e ‘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Observações finais’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campo disponível para o usuário escrever observações que julgar necessárias.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3057525</wp:posOffset>
            </wp:positionH>
            <wp:positionV relativeFrom="paragraph">
              <wp:posOffset>114300</wp:posOffset>
            </wp:positionV>
            <wp:extent cx="2371725" cy="4306814"/>
            <wp:effectExtent b="12700" l="12700" r="12700" t="12700"/>
            <wp:wrapSquare wrapText="bothSides" distB="114300" distT="114300" distL="114300" distR="114300"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30681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pageBreakBefore w:val="0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finalizar o processo de preenchimento do formulário e salvá-lo, o usuário deve clicar no botão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‘Finalizar’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localizado no rodapé. Para voltar à tela anterior, o usuário deve clicar no botão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‘Voltar’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localizado no rodapé.</w:t>
      </w:r>
    </w:p>
    <w:p w:rsidR="00000000" w:rsidDel="00000000" w:rsidP="00000000" w:rsidRDefault="00000000" w:rsidRPr="00000000" w14:paraId="00000080">
      <w:pPr>
        <w:pageBreakBefore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314325</wp:posOffset>
            </wp:positionV>
            <wp:extent cx="2353628" cy="4384010"/>
            <wp:effectExtent b="12700" l="12700" r="12700" t="12700"/>
            <wp:wrapSquare wrapText="bothSides" distB="114300" distT="114300" distL="114300" distR="11430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3628" cy="438401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pageBreakBefore w:val="0"/>
        <w:ind w:left="3600" w:firstLine="72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2.2 Coletas</w:t>
      </w:r>
    </w:p>
    <w:p w:rsidR="00000000" w:rsidDel="00000000" w:rsidP="00000000" w:rsidRDefault="00000000" w:rsidRPr="00000000" w14:paraId="00000085">
      <w:pPr>
        <w:pageBreakBefore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 tela é a tela de exibição das coletas. Ela realiza a listagem de todos formulários já preenchidos e salvos pelo usuário. </w:t>
      </w:r>
    </w:p>
    <w:p w:rsidR="00000000" w:rsidDel="00000000" w:rsidP="00000000" w:rsidRDefault="00000000" w:rsidRPr="00000000" w14:paraId="00000086">
      <w:pPr>
        <w:pageBreakBefore w:val="0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formulários são mostrados através dos atalhos que apresentam o nome e endereço do cliente correspondente.</w:t>
      </w:r>
    </w:p>
    <w:p w:rsidR="00000000" w:rsidDel="00000000" w:rsidP="00000000" w:rsidRDefault="00000000" w:rsidRPr="00000000" w14:paraId="00000087">
      <w:pPr>
        <w:pageBreakBefore w:val="0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ter acesso ao formulário desejado, o usuário precisa clicar no botão correspondente ao atalho do formulário do usuário que deseja ter acesso e será redirecionado para a tela do formulário. </w:t>
      </w:r>
    </w:p>
    <w:p w:rsidR="00000000" w:rsidDel="00000000" w:rsidP="00000000" w:rsidRDefault="00000000" w:rsidRPr="00000000" w14:paraId="00000088">
      <w:pPr>
        <w:pageBreakBefore w:val="0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ind w:lef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2.3 Home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3714750</wp:posOffset>
            </wp:positionH>
            <wp:positionV relativeFrom="paragraph">
              <wp:posOffset>114300</wp:posOffset>
            </wp:positionV>
            <wp:extent cx="2190750" cy="4490720"/>
            <wp:effectExtent b="12700" l="12700" r="12700" t="12700"/>
            <wp:wrapSquare wrapText="bothSides" distB="114300" distT="114300" distL="114300" distR="11430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494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49072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C">
      <w:pPr>
        <w:pageBreakBefore w:val="0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 é a tela que exibe o atalho necessário caso o usuário deseje realizar o Logout, nela também temos algumas informações principais sobre o aplicativo.</w:t>
      </w:r>
    </w:p>
    <w:p w:rsidR="00000000" w:rsidDel="00000000" w:rsidP="00000000" w:rsidRDefault="00000000" w:rsidRPr="00000000" w14:paraId="0000008D">
      <w:pPr>
        <w:pageBreakBefore w:val="0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que possa ser desconectado do aplicativo e redirecionado para a tela de Login, o usuário deve clicar no atalho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‘Sair’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para que a ação seja realizada. </w:t>
      </w:r>
    </w:p>
    <w:p w:rsidR="00000000" w:rsidDel="00000000" w:rsidP="00000000" w:rsidRDefault="00000000" w:rsidRPr="00000000" w14:paraId="0000008E">
      <w:pPr>
        <w:pageBreakBefore w:val="0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o usuário deseje retornar à tela de Coletas, o usuário poderá clicar no botão de rodapé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‘Coletas’.</w:t>
      </w:r>
    </w:p>
    <w:p w:rsidR="00000000" w:rsidDel="00000000" w:rsidP="00000000" w:rsidRDefault="00000000" w:rsidRPr="00000000" w14:paraId="0000008F">
      <w:pPr>
        <w:pageBreakBefore w:val="0"/>
        <w:ind w:lef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ind w:lef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ind w:lef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ind w:lef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ind w:lef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ind w:left="0" w:firstLine="0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</wp:posOffset>
            </wp:positionH>
            <wp:positionV relativeFrom="paragraph">
              <wp:posOffset>419100</wp:posOffset>
            </wp:positionV>
            <wp:extent cx="2238375" cy="4228190"/>
            <wp:effectExtent b="12700" l="12700" r="12700" t="12700"/>
            <wp:wrapSquare wrapText="bothSides" distB="114300" distT="114300" distL="114300" distR="114300"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22819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5">
      <w:pPr>
        <w:pageBreakBefore w:val="0"/>
        <w:ind w:left="0" w:firstLine="0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3 Download do Formulário em PDF</w:t>
      </w:r>
    </w:p>
    <w:p w:rsidR="00000000" w:rsidDel="00000000" w:rsidP="00000000" w:rsidRDefault="00000000" w:rsidRPr="00000000" w14:paraId="00000096">
      <w:pPr>
        <w:pageBreakBefore w:val="0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tela de visualização do formulário de visita técnica, é possível realizar o download deste caso haja necessidade de manter o formulário disponível offline. </w:t>
      </w:r>
    </w:p>
    <w:p w:rsidR="00000000" w:rsidDel="00000000" w:rsidP="00000000" w:rsidRDefault="00000000" w:rsidRPr="00000000" w14:paraId="00000097">
      <w:pPr>
        <w:pageBreakBefore w:val="0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Para realizar o download, o usuário deve clicar no botão de atalho localizado no canto inferior da tela. O aplicativo solicitará permissão de armazenamento nos documentos e, desta forma, o usuário poderá salvar o formulário na pasta de sua preferência. </w:t>
      </w:r>
    </w:p>
    <w:p w:rsidR="00000000" w:rsidDel="00000000" w:rsidP="00000000" w:rsidRDefault="00000000" w:rsidRPr="00000000" w14:paraId="00000098">
      <w:pPr>
        <w:pageBreakBefore w:val="0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Após o download ter sido realizado, o formulário estará disponível no dispositivo escolhido pelo usuário de maneira offline.  </w:t>
      </w:r>
    </w:p>
    <w:sectPr>
      <w:headerReference r:id="rId16" w:type="first"/>
      <w:footerReference r:id="rId17" w:type="default"/>
      <w:footerReference r:id="rId18" w:type="firs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133.858267716535" w:hanging="566.9291338582675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440" w:hanging="360"/>
      </w:pPr>
      <w:rPr/>
    </w:lvl>
    <w:lvl w:ilvl="2">
      <w:start w:val="1"/>
      <w:numFmt w:val="decimal"/>
      <w:lvlText w:val="%1.%2.%3"/>
      <w:lvlJc w:val="left"/>
      <w:pPr>
        <w:ind w:left="2880" w:hanging="720"/>
      </w:pPr>
      <w:rPr/>
    </w:lvl>
    <w:lvl w:ilvl="3">
      <w:start w:val="1"/>
      <w:numFmt w:val="decimal"/>
      <w:lvlText w:val="%1.%2.%3.%4"/>
      <w:lvlJc w:val="left"/>
      <w:pPr>
        <w:ind w:left="4320" w:hanging="1080"/>
      </w:pPr>
      <w:rPr/>
    </w:lvl>
    <w:lvl w:ilvl="4">
      <w:start w:val="1"/>
      <w:numFmt w:val="decimal"/>
      <w:lvlText w:val="%1.%2.%3.%4.%5"/>
      <w:lvlJc w:val="left"/>
      <w:pPr>
        <w:ind w:left="5400" w:hanging="1080"/>
      </w:pPr>
      <w:rPr/>
    </w:lvl>
    <w:lvl w:ilvl="5">
      <w:start w:val="1"/>
      <w:numFmt w:val="decimal"/>
      <w:lvlText w:val="%1.%2.%3.%4.%5.%6"/>
      <w:lvlJc w:val="left"/>
      <w:pPr>
        <w:ind w:left="6840" w:hanging="1440"/>
      </w:pPr>
      <w:rPr/>
    </w:lvl>
    <w:lvl w:ilvl="6">
      <w:start w:val="1"/>
      <w:numFmt w:val="decimal"/>
      <w:lvlText w:val="%1.%2.%3.%4.%5.%6.%7"/>
      <w:lvlJc w:val="left"/>
      <w:pPr>
        <w:ind w:left="7920" w:hanging="1440"/>
      </w:pPr>
      <w:rPr/>
    </w:lvl>
    <w:lvl w:ilvl="7">
      <w:start w:val="1"/>
      <w:numFmt w:val="decimal"/>
      <w:lvlText w:val="%1.%2.%3.%4.%5.%6.%7.%8"/>
      <w:lvlJc w:val="left"/>
      <w:pPr>
        <w:ind w:left="9360" w:hanging="1800"/>
      </w:pPr>
      <w:rPr/>
    </w:lvl>
    <w:lvl w:ilvl="8">
      <w:start w:val="1"/>
      <w:numFmt w:val="decimal"/>
      <w:lvlText w:val="%1.%2.%3.%4.%5.%6.%7.%8.%9"/>
      <w:lvlJc w:val="left"/>
      <w:pPr>
        <w:ind w:left="1044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E25191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25191"/>
  </w:style>
  <w:style w:type="paragraph" w:styleId="Rodap">
    <w:name w:val="footer"/>
    <w:basedOn w:val="Normal"/>
    <w:link w:val="RodapChar"/>
    <w:uiPriority w:val="99"/>
    <w:unhideWhenUsed w:val="1"/>
    <w:rsid w:val="00E25191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25191"/>
  </w:style>
  <w:style w:type="paragraph" w:styleId="PargrafodaLista">
    <w:name w:val="List Paragraph"/>
    <w:basedOn w:val="Normal"/>
    <w:uiPriority w:val="34"/>
    <w:qFormat w:val="1"/>
    <w:rsid w:val="00E2519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jpg"/><Relationship Id="rId10" Type="http://schemas.openxmlformats.org/officeDocument/2006/relationships/image" Target="media/image3.jpg"/><Relationship Id="rId13" Type="http://schemas.openxmlformats.org/officeDocument/2006/relationships/image" Target="media/image5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image" Target="media/image8.jpg"/><Relationship Id="rId14" Type="http://schemas.openxmlformats.org/officeDocument/2006/relationships/image" Target="media/image7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6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Asd7+k734DeWnaAUM+sTVxNrTw==">AMUW2mVVIyWNnLXpGqf+ADr5QBwtCW88p7PTXTkP50bbA4wPRwvt9FXm7J2lJfTHKoK9AYzCQOw1aCRb1C3w678wz3Lgj6icuBgYJXx8aLXjDRloflukVIM=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2021-03-11T22:42:00Z</dcterms:created>
  <dc:creator>Letízia Pereira Silva</dc:creator>
</cp:coreProperties>
</file>