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c34be71f6189755946c166d489836c140441066"/>
    <w:p>
      <w:pPr>
        <w:pStyle w:val="Heading1"/>
      </w:pPr>
      <w:r>
        <w:t xml:space="preserve">Calibração da Rede Lunes — Taxas, Tempo de Bloco e Capacidade (TPS)</w:t>
      </w:r>
    </w:p>
    <w:p>
      <w:pPr>
        <w:pStyle w:val="BlockText"/>
      </w:pPr>
      <w:r>
        <w:t xml:space="preserve">Este documento descreve as mudanças de parametrização aplicadas ao runtime</w:t>
      </w:r>
      <w:r>
        <w:t xml:space="preserve"> </w:t>
      </w:r>
      <w:r>
        <w:t xml:space="preserve">(</w:t>
      </w:r>
      <w:r>
        <w:rPr>
          <w:bCs/>
          <w:b/>
        </w:rPr>
        <w:t xml:space="preserve">spec_version 108</w:t>
      </w:r>
      <w:r>
        <w:t xml:space="preserve">) para atingir os objetivos pedidos: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Taxa de ~0,002 LUNES</w:t>
      </w:r>
      <w:r>
        <w:t xml:space="preserve"> </w:t>
      </w:r>
      <w:r>
        <w:t xml:space="preserve">para transações simples, com as demais operações em</w:t>
      </w:r>
      <w:r>
        <w:t xml:space="preserve"> </w:t>
      </w:r>
      <w:r>
        <w:t xml:space="preserve">proporção equivalente;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 de bloco de 1 segundo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Capacidade ≥ 10.000 TPS</w:t>
      </w:r>
      <w:r>
        <w:t xml:space="preserve"> </w:t>
      </w:r>
      <w:r>
        <w:t xml:space="preserve">para transferências simples;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Requisitos de hardware</w:t>
      </w:r>
      <w:r>
        <w:t xml:space="preserve"> </w:t>
      </w:r>
      <w:r>
        <w:t xml:space="preserve">para operar a rede nessa configuração.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Importante:</w:t>
      </w:r>
      <w:r>
        <w:t xml:space="preserve"> </w:t>
      </w:r>
      <w:r>
        <w:t xml:space="preserve">estas mudanças são de</w:t>
      </w:r>
      <w:r>
        <w:t xml:space="preserve"> </w:t>
      </w:r>
      <w:r>
        <w:rPr>
          <w:bCs/>
          <w:b/>
        </w:rPr>
        <w:t xml:space="preserve">parâmetros de consenso/econômicos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 foram compiladas nem testadas em cadeia</w:t>
      </w:r>
      <w:r>
        <w:t xml:space="preserve"> </w:t>
      </w:r>
      <w:r>
        <w:t xml:space="preserve">nesta máquina (sem toolchain Rust).</w:t>
      </w:r>
      <w:r>
        <w:t xml:space="preserve"> </w:t>
      </w:r>
      <w:r>
        <w:t xml:space="preserve">Elas</w:t>
      </w:r>
      <w:r>
        <w:t xml:space="preserve"> </w:t>
      </w:r>
      <w:r>
        <w:rPr>
          <w:bCs/>
          <w:b/>
        </w:rPr>
        <w:t xml:space="preserve">precisam</w:t>
      </w:r>
      <w:r>
        <w:t xml:space="preserve"> </w:t>
      </w:r>
      <w:r>
        <w:t xml:space="preserve">ser compiladas (</w:t>
      </w:r>
      <w:r>
        <w:rPr>
          <w:rStyle w:val="VerbatimChar"/>
        </w:rPr>
        <w:t xml:space="preserve">cargo build --release</w:t>
      </w:r>
      <w:r>
        <w:t xml:space="preserve">), passar nos testes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cargo test</w:t>
      </w:r>
      <w:r>
        <w:t xml:space="preserve">) e ser validadas em</w:t>
      </w:r>
      <w:r>
        <w:t xml:space="preserve"> </w:t>
      </w:r>
      <w:r>
        <w:rPr>
          <w:bCs/>
          <w:b/>
        </w:rPr>
        <w:t xml:space="preserve">testnet</w:t>
      </w:r>
      <w:r>
        <w:t xml:space="preserve"> </w:t>
      </w:r>
      <w:r>
        <w:t xml:space="preserve">antes de qualquer uso em produção.</w:t>
      </w:r>
      <w:r>
        <w:t xml:space="preserve"> </w:t>
      </w:r>
      <w:r>
        <w:t xml:space="preserve">Os números de taxa/TPS abaixo são projeções calculadas a partir dos</w:t>
      </w:r>
      <w:r>
        <w:t xml:space="preserve"> </w:t>
      </w:r>
      <w:r>
        <w:rPr>
          <w:bCs/>
          <w:b/>
        </w:rPr>
        <w:t xml:space="preserve">pesos reais</w:t>
      </w:r>
      <w:r>
        <w:rPr>
          <w:bCs/>
          <w:b/>
        </w:rPr>
        <w:t xml:space="preserve"> </w:t>
      </w:r>
      <w:r>
        <w:rPr>
          <w:bCs/>
          <w:b/>
        </w:rPr>
        <w:t xml:space="preserve">medidos</w:t>
      </w:r>
      <w:r>
        <w:t xml:space="preserve"> </w:t>
      </w:r>
      <w:r>
        <w:t xml:space="preserve">no benchmark (ver</w:t>
      </w:r>
      <w:r>
        <w:t xml:space="preserve"> </w:t>
      </w:r>
      <w:r>
        <w:rPr>
          <w:rStyle w:val="VerbatimChar"/>
        </w:rPr>
        <w:t xml:space="preserve">docs/BENCHMARK.md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" w:name="mudanças-aplicadas"/>
    <w:p>
      <w:pPr>
        <w:pStyle w:val="Heading2"/>
      </w:pPr>
      <w:r>
        <w:t xml:space="preserve">1. Mudanças aplicadas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28"/>
        <w:gridCol w:w="2501"/>
        <w:gridCol w:w="264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 (spec 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Depois (spec 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MILLISECS_PER_BLOCK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 (6 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1000 (1 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runtime/src/constants.rs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Orçamento de peso do bloco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 × WEIGHT_REF_TIME_PER_SECOND</w:t>
            </w:r>
            <w:r>
              <w:t xml:space="preserve"> </w:t>
            </w:r>
            <w:r>
              <w:t xml:space="preserve">(2 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4 × ...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(4 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runtime/src/lib.rs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WEIGHT_FEE_DIVISOR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(inexistente)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runtime/src/lib.rs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TransactionByteFee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NANOUNIT</w:t>
            </w:r>
            <w:r>
              <w:t xml:space="preserve"> </w:t>
            </w:r>
            <w:r>
              <w:t xml:space="preserve">(1000 planck)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planck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runtime/src/lib.rs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runtime/src/lib.rs</w:t>
            </w:r>
          </w:p>
        </w:tc>
      </w:tr>
    </w:tbl>
    <w:p>
      <w:pPr>
        <w:pStyle w:val="BodyText"/>
      </w:pPr>
      <w:r>
        <w:t xml:space="preserve">O piso anti-spam</w:t>
      </w:r>
      <w:r>
        <w:t xml:space="preserve"> </w:t>
      </w:r>
      <w:r>
        <w:rPr>
          <w:rStyle w:val="VerbatimChar"/>
        </w:rPr>
        <w:t xml:space="preserve">MINIMUM_WEIGHT_FEE = 1000</w:t>
      </w:r>
      <w:r>
        <w:t xml:space="preserve"> </w:t>
      </w:r>
      <w:r>
        <w:t xml:space="preserve">planck (correção da Fase 1)</w:t>
      </w:r>
      <w:r>
        <w:t xml:space="preserve"> </w:t>
      </w:r>
      <w:r>
        <w:rPr>
          <w:bCs/>
          <w:b/>
        </w:rPr>
        <w:t xml:space="preserve">foi</w:t>
      </w:r>
      <w:r>
        <w:rPr>
          <w:bCs/>
          <w:b/>
        </w:rPr>
        <w:t xml:space="preserve"> </w:t>
      </w:r>
      <w:r>
        <w:rPr>
          <w:bCs/>
          <w:b/>
        </w:rPr>
        <w:t xml:space="preserve">mantido</w:t>
      </w:r>
      <w:r>
        <w:t xml:space="preserve"> </w:t>
      </w:r>
      <w:r>
        <w:t xml:space="preserve">— a taxa continua nunca podendo ser zero.</w:t>
      </w:r>
    </w:p>
    <w:p>
      <w:r>
        <w:pict>
          <v:rect style="width:0;height:1.5pt" o:hralign="center" o:hrstd="t" o:hr="t"/>
        </w:pict>
      </w:r>
    </w:p>
    <w:bookmarkEnd w:id="20"/>
    <w:bookmarkStart w:id="21" w:name="objetivo-1-taxas-calibradas-0002-lunes"/>
    <w:p>
      <w:pPr>
        <w:pStyle w:val="Heading2"/>
      </w:pPr>
      <w:r>
        <w:t xml:space="preserve">2. Objetivo 1 — Taxas calibradas (~0,002 LUNES)</w:t>
      </w:r>
    </w:p>
    <w:p>
      <w:pPr>
        <w:pStyle w:val="FirstParagraph"/>
      </w:pPr>
      <w:r>
        <w:t xml:space="preserve">A taxa de inclusão é</w:t>
      </w:r>
      <w:r>
        <w:t xml:space="preserve"> </w:t>
      </w:r>
      <w:r>
        <w:rPr>
          <w:rStyle w:val="VerbatimChar"/>
        </w:rPr>
        <w:t xml:space="preserve">taxa_base + taxa_de_peso + taxa_de_tamanho</w:t>
      </w:r>
      <w:r>
        <w:t xml:space="preserve">, onde as duas</w:t>
      </w:r>
      <w:r>
        <w:t xml:space="preserve"> </w:t>
      </w:r>
      <w:r>
        <w:t xml:space="preserve">primeiras passam por</w:t>
      </w:r>
      <w:r>
        <w:t xml:space="preserve"> </w:t>
      </w:r>
      <w:r>
        <w:rPr>
          <w:rStyle w:val="VerbatimChar"/>
        </w:rPr>
        <w:t xml:space="preserve">weight_to_fee(w) = max((ref_time + proof_size) / 1380, 1000)</w:t>
      </w:r>
      <w:r>
        <w:t xml:space="preserve">.</w:t>
      </w:r>
      <w:r>
        <w:t xml:space="preserve"> </w:t>
      </w:r>
      <w:r>
        <w:t xml:space="preserve">O divisor</w:t>
      </w:r>
      <w:r>
        <w:t xml:space="preserve"> </w:t>
      </w:r>
      <w:r>
        <w:rPr>
          <w:bCs/>
          <w:b/>
        </w:rPr>
        <w:t xml:space="preserve">1380</w:t>
      </w:r>
      <w:r>
        <w:t xml:space="preserve"> </w:t>
      </w:r>
      <w:r>
        <w:t xml:space="preserve">foi escolhido para que uma transferência simples custe ~0,002 LUNES.</w:t>
      </w:r>
      <w:r>
        <w:t xml:space="preserve"> </w:t>
      </w:r>
      <w:r>
        <w:t xml:space="preserve">Como a taxa é dominada pelo</w:t>
      </w:r>
      <w:r>
        <w:t xml:space="preserve"> </w:t>
      </w:r>
      <w:r>
        <w:rPr>
          <w:bCs/>
          <w:b/>
        </w:rPr>
        <w:t xml:space="preserve">peso</w:t>
      </w:r>
      <w:r>
        <w:t xml:space="preserve">, as demais operações escalam</w:t>
      </w:r>
      <w:r>
        <w:t xml:space="preserve"> </w:t>
      </w:r>
      <w:r>
        <w:rPr>
          <w:bCs/>
          <w:b/>
        </w:rPr>
        <w:t xml:space="preserve">proporcionalmente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00"/>
        <w:gridCol w:w="2880"/>
        <w:gridCol w:w="1320"/>
        <w:gridCol w:w="120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(ref_time medido)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 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174.250.000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200.055 planck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0,00200 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Mint de NFT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nfts.mint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575.248.000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490.683 planck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0,00491 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Criar coleção NFT (</w:t>
            </w:r>
            <w:r>
              <w:rPr>
                <w:rStyle w:val="VerbatimChar"/>
              </w:rPr>
              <w:t xml:space="preserve">nfts.create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588.703.000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500.553 planck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0,00501 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Chamada de contrato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contracts.call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3.697.528.000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2.753.235 planck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0,02753 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de contrato ~4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7.279.668.548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5.389.659 planck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0,05390 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26,94×</w:t>
            </w:r>
          </w:p>
        </w:tc>
      </w:tr>
    </w:tbl>
    <w:p>
      <w:pPr>
        <w:pStyle w:val="BodyText"/>
      </w:pPr>
      <w:r>
        <w:rPr>
          <w:iCs/>
          <w:i/>
        </w:rPr>
        <w:t xml:space="preserve">(1 LUNES = 100.000.000 planck; taxa base fixa por extrínseco = 99.840.000/1380 ≈ 72.348 planck.)</w:t>
      </w:r>
    </w:p>
    <w:p>
      <w:pPr>
        <w:pStyle w:val="BlockText"/>
      </w:pPr>
      <w:r>
        <w:t xml:space="preserve">Para reescalar TODAS as taxas mantendo a proporção, basta ajustar</w:t>
      </w:r>
      <w:r>
        <w:t xml:space="preserve"> </w:t>
      </w:r>
      <w:r>
        <w:rPr>
          <w:rStyle w:val="VerbatimChar"/>
          <w:bCs/>
          <w:b/>
        </w:rPr>
        <w:t xml:space="preserve">WEIGHT_FEE_DIVISOR</w:t>
      </w:r>
      <w:r>
        <w:t xml:space="preserve">: dobrá-lo reduz as taxas pela metade, e vice-versa.</w:t>
      </w:r>
      <w:r>
        <w:t xml:space="preserve"> </w:t>
      </w:r>
      <w:r>
        <w:t xml:space="preserve">O depósito de armazenamento de contratos (reembolsável) é cobrado à parte pelo</w:t>
      </w:r>
      <w:r>
        <w:t xml:space="preserve"> </w:t>
      </w:r>
      <w:r>
        <w:rPr>
          <w:rStyle w:val="VerbatimChar"/>
        </w:rPr>
        <w:t xml:space="preserve">pallet_contracts</w:t>
      </w:r>
      <w:r>
        <w:t xml:space="preserve"> </w:t>
      </w:r>
      <w:r>
        <w:t xml:space="preserve">e não entra nestes valores.</w:t>
      </w:r>
    </w:p>
    <w:p>
      <w:r>
        <w:pict>
          <v:rect style="width:0;height:1.5pt" o:hralign="center" o:hrstd="t" o:hr="t"/>
        </w:pict>
      </w:r>
    </w:p>
    <w:bookmarkEnd w:id="21"/>
    <w:bookmarkStart w:id="22" w:name="objetivo-2-tempo-de-bloco-de-1-segundo"/>
    <w:p>
      <w:pPr>
        <w:pStyle w:val="Heading2"/>
      </w:pPr>
      <w:r>
        <w:t xml:space="preserve">3. Objetivo 2 — Tempo de bloco de 1 segundo</w:t>
      </w:r>
    </w:p>
    <w:p>
      <w:pPr>
        <w:pStyle w:val="FirstParagraph"/>
      </w:pPr>
      <w:r>
        <w:rPr>
          <w:rStyle w:val="VerbatimChar"/>
        </w:rPr>
        <w:t xml:space="preserve">MILLISECS_PER_BLOCK</w:t>
      </w:r>
      <w:r>
        <w:t xml:space="preserve"> </w:t>
      </w:r>
      <w:r>
        <w:t xml:space="preserve">passou de 6000 para</w:t>
      </w:r>
      <w:r>
        <w:t xml:space="preserve"> </w:t>
      </w:r>
      <w:r>
        <w:rPr>
          <w:bCs/>
          <w:b/>
        </w:rPr>
        <w:t xml:space="preserve">1000</w:t>
      </w:r>
      <w:r>
        <w:t xml:space="preserve">. As unidades de tempo derivadas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</w:t>
      </w:r>
      <w:r>
        <w:t xml:space="preserve">, épocas, sessões) são definidas</w:t>
      </w:r>
      <w:r>
        <w:t xml:space="preserve"> </w:t>
      </w:r>
      <w:r>
        <w:rPr>
          <w:bCs/>
          <w:b/>
        </w:rPr>
        <w:t xml:space="preserve">em número de blocos</w:t>
      </w:r>
      <w:r>
        <w:t xml:space="preserve"> </w:t>
      </w:r>
      <w:r>
        <w:t xml:space="preserve">a</w:t>
      </w:r>
      <w:r>
        <w:t xml:space="preserve"> </w:t>
      </w:r>
      <w:r>
        <w:t xml:space="preserve">partir de</w:t>
      </w:r>
      <w:r>
        <w:t xml:space="preserve"> </w:t>
      </w:r>
      <w:r>
        <w:rPr>
          <w:rStyle w:val="VerbatimChar"/>
        </w:rPr>
        <w:t xml:space="preserve">SECS_PER_BLOCK</w:t>
      </w:r>
      <w:r>
        <w:t xml:space="preserve">, então o</w:t>
      </w:r>
      <w:r>
        <w:t xml:space="preserve"> </w:t>
      </w:r>
      <w:r>
        <w:rPr>
          <w:bCs/>
          <w:b/>
        </w:rPr>
        <w:t xml:space="preserve">tempo de parede</w:t>
      </w:r>
      <w:r>
        <w:t xml:space="preserve"> </w:t>
      </w:r>
      <w:r>
        <w:t xml:space="preserve">de épocas/sessões/eras se</w:t>
      </w:r>
      <w:r>
        <w:t xml:space="preserve"> </w:t>
      </w:r>
      <w:r>
        <w:t xml:space="preserve">mantém — apenas passam a conter 6× mais blocos.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 duração do slot não pode ser alterada em uma cadeia já em execução</w:t>
      </w:r>
      <w:r>
        <w:t xml:space="preserve"> </w:t>
      </w:r>
      <w:r>
        <w:t xml:space="preserve">— fazê-lo</w:t>
      </w:r>
      <w:r>
        <w:t xml:space="preserve"> </w:t>
      </w:r>
      <w:r>
        <w:t xml:space="preserve">trava a produção de blocos. Esta mudança só vale para uma</w:t>
      </w:r>
      <w:r>
        <w:t xml:space="preserve"> </w:t>
      </w:r>
      <w:r>
        <w:rPr>
          <w:bCs/>
          <w:b/>
        </w:rPr>
        <w:t xml:space="preserve">cadeia nova</w:t>
      </w:r>
      <w:r>
        <w:t xml:space="preserve"> </w:t>
      </w:r>
      <w:r>
        <w:t xml:space="preserve">(novo</w:t>
      </w:r>
      <w:r>
        <w:t xml:space="preserve"> </w:t>
      </w:r>
      <w:r>
        <w:t xml:space="preserve">genesis) ou uma relançada de forma coordenada.</w:t>
      </w:r>
    </w:p>
    <w:p>
      <w:r>
        <w:pict>
          <v:rect style="width:0;height:1.5pt" o:hralign="center" o:hrstd="t" o:hr="t"/>
        </w:pict>
      </w:r>
    </w:p>
    <w:bookmarkEnd w:id="22"/>
    <w:bookmarkStart w:id="23" w:name="objetivo-3-capacidade-10.000-tps"/>
    <w:p>
      <w:pPr>
        <w:pStyle w:val="Heading2"/>
      </w:pPr>
      <w:r>
        <w:t xml:space="preserve">4. Objetivo 3 — Capacidade ≥ 10.000 TPS</w:t>
      </w:r>
    </w:p>
    <w:p>
      <w:pPr>
        <w:pStyle w:val="FirstParagraph"/>
      </w:pPr>
      <w:r>
        <w:t xml:space="preserve">Capacidade (transferências) =</w:t>
      </w:r>
      <w:r>
        <w:t xml:space="preserve"> </w:t>
      </w:r>
      <w:r>
        <w:rPr>
          <w:rStyle w:val="VerbatimChar"/>
        </w:rPr>
        <w:t xml:space="preserve">orçamento_de_peso_normal / peso_por_transferência</w:t>
      </w:r>
      <w:r>
        <w:t xml:space="preserve">,</w:t>
      </w:r>
      <w:r>
        <w:t xml:space="preserve"> </w:t>
      </w:r>
      <w:r>
        <w:t xml:space="preserve">dividido pelo tempo de bloco.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Orçamento de peso do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4.000.000.000.000 (4 s de compute de referência)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Orçamento p/ extrínsecos normais (75 %)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3.000.000.000.000 (3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transferência (base +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274.090.000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Transferências por bloco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de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TPS (teórico, blocos cheios)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10.945 TPS</w:t>
            </w:r>
            <w:r>
              <w:t xml:space="preserve"> </w:t>
            </w:r>
            <w:r>
              <w:t xml:space="preserve">✅</w:t>
            </w:r>
          </w:p>
        </w:tc>
      </w:tr>
    </w:tbl>
    <w:p>
      <w:pPr>
        <w:pStyle w:val="BodyText"/>
      </w:pPr>
      <w:r>
        <w:t xml:space="preserve">Assim,</w:t>
      </w:r>
      <w:r>
        <w:t xml:space="preserve"> </w:t>
      </w:r>
      <w:r>
        <w:rPr>
          <w:bCs/>
          <w:b/>
        </w:rPr>
        <w:t xml:space="preserve">na configuração de parâmetros o alvo de 10.000 TPS é atingido</w:t>
      </w:r>
      <w:r>
        <w:t xml:space="preserve">. Porém, há</w:t>
      </w:r>
      <w:r>
        <w:t xml:space="preserve"> </w:t>
      </w:r>
      <w:r>
        <w:t xml:space="preserve">uma restrição física de hardware que precisa ser entendida (seção 5).</w:t>
      </w:r>
    </w:p>
    <w:p>
      <w:r>
        <w:pict>
          <v:rect style="width:0;height:1.5pt" o:hralign="center" o:hrstd="t" o:hr="t"/>
        </w:pict>
      </w:r>
    </w:p>
    <w:bookmarkEnd w:id="23"/>
    <w:bookmarkStart w:id="29" w:name="Xc98dc8b403cd4b5da3889167ff262e4b4f18555"/>
    <w:p>
      <w:pPr>
        <w:pStyle w:val="Heading2"/>
      </w:pPr>
      <w:r>
        <w:t xml:space="preserve">5. Objetivo 4 — Requisitos de hardware (análise de viabilidade) ⚠️</w:t>
      </w:r>
    </w:p>
    <w:p>
      <w:pPr>
        <w:pStyle w:val="FirstParagraph"/>
      </w:pPr>
      <w:r>
        <w:t xml:space="preserve">Esta é a parte mais importante e onde é preciso ser honesto.</w:t>
      </w:r>
    </w:p>
    <w:bookmarkStart w:id="24" w:name="o-que-o-peso-significa"/>
    <w:p>
      <w:pPr>
        <w:pStyle w:val="Heading3"/>
      </w:pPr>
      <w:r>
        <w:t xml:space="preserve">5.1 O que o</w:t>
      </w:r>
      <w:r>
        <w:t xml:space="preserve"> </w:t>
      </w:r>
      <w:r>
        <w:t xml:space="preserve">“</w:t>
      </w:r>
      <w:r>
        <w:t xml:space="preserve">peso</w:t>
      </w:r>
      <w:r>
        <w:t xml:space="preserve">”</w:t>
      </w:r>
      <w:r>
        <w:t xml:space="preserve"> </w:t>
      </w:r>
      <w:r>
        <w:t xml:space="preserve">significa</w:t>
      </w:r>
    </w:p>
    <w:p>
      <w:pPr>
        <w:pStyle w:val="FirstParagraph"/>
      </w:pPr>
      <w:r>
        <w:t xml:space="preserve">No Substrate,</w:t>
      </w:r>
      <w:r>
        <w:t xml:space="preserve"> </w:t>
      </w:r>
      <w:r>
        <w:rPr>
          <w:rStyle w:val="VerbatimChar"/>
        </w:rPr>
        <w:t xml:space="preserve">ref_time</w:t>
      </w:r>
      <w:r>
        <w:t xml:space="preserve"> </w:t>
      </w:r>
      <w:r>
        <w:t xml:space="preserve">é medido em</w:t>
      </w:r>
      <w:r>
        <w:t xml:space="preserve"> </w:t>
      </w:r>
      <w:r>
        <w:rPr>
          <w:bCs/>
          <w:b/>
        </w:rPr>
        <w:t xml:space="preserve">picossegundos de compute na máquina de</w:t>
      </w:r>
      <w:r>
        <w:rPr>
          <w:bCs/>
          <w:b/>
        </w:rPr>
        <w:t xml:space="preserve"> </w:t>
      </w:r>
      <w:r>
        <w:rPr>
          <w:bCs/>
          <w:b/>
        </w:rPr>
        <w:t xml:space="preserve">referência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WEIGHT_REF_TIME_PER_SECOND = 1e12</w:t>
      </w:r>
      <w:r>
        <w:t xml:space="preserve">). A máquina de referência do</w:t>
      </w:r>
      <w:r>
        <w:t xml:space="preserve"> </w:t>
      </w:r>
      <w:r>
        <w:rPr>
          <w:rStyle w:val="VerbatimChar"/>
        </w:rPr>
        <w:t xml:space="preserve">polkadot-v0.9.40</w:t>
      </w:r>
      <w:r>
        <w:t xml:space="preserve"> </w:t>
      </w:r>
      <w:r>
        <w:t xml:space="preserve">é, aproximadamente, um</w:t>
      </w:r>
      <w:r>
        <w:t xml:space="preserve"> </w:t>
      </w:r>
      <w:r>
        <w:rPr>
          <w:bCs/>
          <w:b/>
        </w:rPr>
        <w:t xml:space="preserve">Intel Core i7-7700K (4 núcleos @ 4,2 GHz)</w:t>
      </w:r>
      <w:r>
        <w:rPr>
          <w:bCs/>
          <w:b/>
        </w:rPr>
        <w:t xml:space="preserve"> </w:t>
      </w:r>
      <w:r>
        <w:rPr>
          <w:bCs/>
          <w:b/>
        </w:rPr>
        <w:t xml:space="preserve">com NVMe SSD</w:t>
      </w:r>
      <w:r>
        <w:t xml:space="preserve">. Os pesos dos pallets (incluindo os ~174 M da transferência) foram</w:t>
      </w:r>
      <w:r>
        <w:t xml:space="preserve"> </w:t>
      </w:r>
      <w:r>
        <w:t xml:space="preserve">calibrados nessa máquina — e são dominados por operações de</w:t>
      </w:r>
      <w:r>
        <w:t xml:space="preserve"> </w:t>
      </w:r>
      <w:r>
        <w:rPr>
          <w:bCs/>
          <w:b/>
        </w:rPr>
        <w:t xml:space="preserve">armazenamento</w:t>
      </w:r>
      <w:r>
        <w:t xml:space="preserve"> </w:t>
      </w:r>
      <w:r>
        <w:t xml:space="preserve">(RocksDbWeight: leitura ~25 M, escrita ~100 M).</w:t>
      </w:r>
    </w:p>
    <w:bookmarkEnd w:id="24"/>
    <w:bookmarkStart w:id="25" w:name="X07471e78ef8e78a66fea0ed54eac1f8b6ec465b"/>
    <w:p>
      <w:pPr>
        <w:pStyle w:val="Heading3"/>
      </w:pPr>
      <w:r>
        <w:t xml:space="preserve">5.2 A restrição fundamental (independente do tempo de bloco)</w:t>
      </w:r>
    </w:p>
    <w:p>
      <w:pPr>
        <w:pStyle w:val="BlockText"/>
      </w:pPr>
      <w:r>
        <w:rPr>
          <w:bCs/>
          <w:b/>
        </w:rPr>
        <w:t xml:space="preserve">compute exigido por segundo = TPS × peso_por_transação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bCs/>
          <w:b/>
        </w:rPr>
        <w:t xml:space="preserve">10.000 TPS</w:t>
      </w:r>
      <w:r>
        <w:t xml:space="preserve"> </w:t>
      </w:r>
      <w:r>
        <w:t xml:space="preserve">de transferências:</w:t>
      </w:r>
    </w:p>
    <w:p>
      <w:pPr>
        <w:pStyle w:val="SourceCode"/>
      </w:pPr>
      <w:r>
        <w:rPr>
          <w:rStyle w:val="VerbatimChar"/>
        </w:rPr>
        <w:t xml:space="preserve">10.000 × 274.090.000 = 2,74 × 10¹² ref_time por segundo de relógio</w:t>
      </w:r>
      <w:r>
        <w:br/>
      </w:r>
      <w:r>
        <w:rPr>
          <w:rStyle w:val="VerbatimChar"/>
        </w:rPr>
        <w:t xml:space="preserve">                     = 2,74 segundos de compute de REFERÊNCIA por 1 s real</w:t>
      </w:r>
    </w:p>
    <w:p>
      <w:pPr>
        <w:pStyle w:val="FirstParagraph"/>
      </w:pPr>
      <w:r>
        <w:t xml:space="preserve">Ou seja, cada validador precisa</w:t>
      </w:r>
      <w:r>
        <w:t xml:space="preserve"> </w:t>
      </w:r>
      <w:r>
        <w:rPr>
          <w:bCs/>
          <w:b/>
        </w:rPr>
        <w:t xml:space="preserve">executar (e importar) 2,74 s de trabalho de</w:t>
      </w:r>
      <w:r>
        <w:rPr>
          <w:bCs/>
          <w:b/>
        </w:rPr>
        <w:t xml:space="preserve"> </w:t>
      </w:r>
      <w:r>
        <w:rPr>
          <w:bCs/>
          <w:b/>
        </w:rPr>
        <w:t xml:space="preserve">referência a cada 1 segundo</w:t>
      </w:r>
      <w:r>
        <w:t xml:space="preserve">. Reduzir o tempo de bloco de 6 s para 1 s</w:t>
      </w:r>
      <w:r>
        <w:t xml:space="preserve"> </w:t>
      </w:r>
      <w:r>
        <w:rPr>
          <w:bCs/>
          <w:b/>
        </w:rPr>
        <w:t xml:space="preserve">não muda</w:t>
      </w:r>
      <w:r>
        <w:t xml:space="preserve"> </w:t>
      </w:r>
      <w:r>
        <w:t xml:space="preserve">esse número — apenas divide o mesmo trabalho em blocos menores e mais frequentes.</w:t>
      </w:r>
    </w:p>
    <w:p>
      <w:pPr>
        <w:pStyle w:val="BodyText"/>
      </w:pPr>
      <w:r>
        <w:t xml:space="preserve">Como a execução do FRAME clássico (v0.9.40) é</w:t>
      </w:r>
      <w:r>
        <w:t xml:space="preserve"> </w:t>
      </w:r>
      <w:r>
        <w:rPr>
          <w:bCs/>
          <w:b/>
        </w:rPr>
        <w:t xml:space="preserve">estritamente sequencial</w:t>
      </w:r>
      <w:r>
        <w:rPr>
          <w:bCs/>
          <w:b/>
        </w:rPr>
        <w:t xml:space="preserve"> </w:t>
      </w:r>
      <w:r>
        <w:rPr>
          <w:bCs/>
          <w:b/>
        </w:rPr>
        <w:t xml:space="preserve">(single-thread)</w:t>
      </w:r>
      <w:r>
        <w:t xml:space="preserve">, isso exige um único núcleo muito mais rápido que a referência: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Fração do slot usável p/ executar+importar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Speedup single-core exigido vs. referência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~5,5×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~3,9×</w:t>
            </w:r>
          </w:p>
        </w:tc>
      </w:tr>
    </w:tbl>
    <w:bookmarkEnd w:id="25"/>
    <w:bookmarkStart w:id="26" w:name="o-problema"/>
    <w:p>
      <w:pPr>
        <w:pStyle w:val="Heading3"/>
      </w:pPr>
      <w:r>
        <w:t xml:space="preserve">5.3 O problema</w:t>
      </w:r>
    </w:p>
    <w:p>
      <w:pPr>
        <w:pStyle w:val="FirstParagraph"/>
      </w:pPr>
      <w:r>
        <w:t xml:space="preserve">Os CPUs mais rápidos de 2024/2025 (ex.: Ryzen 9 7950X, Intel i9-14900K) têm</w:t>
      </w:r>
      <w:r>
        <w:t xml:space="preserve"> </w:t>
      </w:r>
      <w:r>
        <w:t xml:space="preserve">desempenho</w:t>
      </w:r>
      <w:r>
        <w:t xml:space="preserve"> </w:t>
      </w:r>
      <w:r>
        <w:rPr>
          <w:bCs/>
          <w:b/>
        </w:rPr>
        <w:t xml:space="preserve">single-thread de ~2,0–2,5×</w:t>
      </w:r>
      <w:r>
        <w:t xml:space="preserve"> </w:t>
      </w:r>
      <w:r>
        <w:t xml:space="preserve">o i7-7700K. Isso está</w:t>
      </w:r>
      <w:r>
        <w:t xml:space="preserve"> </w:t>
      </w:r>
      <w:r>
        <w:rPr>
          <w:bCs/>
          <w:b/>
        </w:rPr>
        <w:t xml:space="preserve">abaixo</w:t>
      </w:r>
      <w:r>
        <w:t xml:space="preserve"> </w:t>
      </w:r>
      <w:r>
        <w:t xml:space="preserve">do</w:t>
      </w:r>
      <w:r>
        <w:t xml:space="preserve"> </w:t>
      </w:r>
      <w:r>
        <w:t xml:space="preserve">~3,9–5,5× necessário. O teto realista de single-thread fica em: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99"/>
        <w:gridCol w:w="2295"/>
        <w:gridCol w:w="2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CPU (single-core vs ref.)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Utilização do 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Teto realista de 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~3.650 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~5.100 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2,5×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~4.560 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2,5×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~6.385 TPS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 honesta:</w:t>
      </w:r>
      <w:r>
        <w:t xml:space="preserve"> </w:t>
      </w:r>
      <w:r>
        <w:t xml:space="preserve">com o</w:t>
      </w:r>
      <w:r>
        <w:t xml:space="preserve"> </w:t>
      </w:r>
      <w:r>
        <w:rPr>
          <w:iCs/>
          <w:i/>
        </w:rPr>
        <w:t xml:space="preserve">stack</w:t>
      </w:r>
      <w:r>
        <w:t xml:space="preserve"> </w:t>
      </w:r>
      <w:r>
        <w:t xml:space="preserve">atual (FRAME v0.9.40, execução sequencial,</w:t>
      </w:r>
      <w:r>
        <w:t xml:space="preserve"> </w:t>
      </w:r>
      <w:r>
        <w:t xml:space="preserve">pesos de referência),</w:t>
      </w:r>
      <w:r>
        <w:t xml:space="preserve"> </w:t>
      </w:r>
      <w:r>
        <w:rPr>
          <w:bCs/>
          <w:b/>
        </w:rPr>
        <w:t xml:space="preserve">10.000 TPS sustentados não são fisicamente atingíveis</w:t>
      </w:r>
      <w:r>
        <w:t xml:space="preserve"> </w:t>
      </w:r>
      <w:r>
        <w:t xml:space="preserve">em</w:t>
      </w:r>
      <w:r>
        <w:t xml:space="preserve"> </w:t>
      </w:r>
      <w:r>
        <w:t xml:space="preserve">hardware realista. Configurar o orçamento de peso para 4 s de compute em blocos de</w:t>
      </w:r>
      <w:r>
        <w:t xml:space="preserve"> </w:t>
      </w:r>
      <w:r>
        <w:t xml:space="preserve">1 s faz a cadeia</w:t>
      </w:r>
      <w:r>
        <w:t xml:space="preserve"> </w:t>
      </w:r>
      <w:r>
        <w:rPr>
          <w:bCs/>
          <w:b/>
        </w:rPr>
        <w:t xml:space="preserve">acompanhar apenas se</w:t>
      </w:r>
      <w:r>
        <w:t xml:space="preserve"> </w:t>
      </w:r>
      <w:r>
        <w:t xml:space="preserve">os validadores tiverem hardware ~4–5×</w:t>
      </w:r>
      <w:r>
        <w:t xml:space="preserve"> </w:t>
      </w:r>
      <w:r>
        <w:t xml:space="preserve">referência; caso contrário, em blocos cheios a importação demora mais que o slot e a</w:t>
      </w:r>
      <w:r>
        <w:t xml:space="preserve"> </w:t>
      </w:r>
      <w:r>
        <w:rPr>
          <w:bCs/>
          <w:b/>
        </w:rPr>
        <w:t xml:space="preserve">cadeia trava</w:t>
      </w:r>
      <w:r>
        <w:t xml:space="preserve">. O teto prático fica em</w:t>
      </w:r>
      <w:r>
        <w:t xml:space="preserve"> </w:t>
      </w:r>
      <w:r>
        <w:rPr>
          <w:bCs/>
          <w:b/>
        </w:rPr>
        <w:t xml:space="preserve">~4.000–6.000 TPS</w:t>
      </w:r>
      <w:r>
        <w:t xml:space="preserve"> </w:t>
      </w:r>
      <w:r>
        <w:t xml:space="preserve">para transferências</w:t>
      </w:r>
      <w:r>
        <w:t xml:space="preserve"> </w:t>
      </w:r>
      <w:r>
        <w:t xml:space="preserve">simples, mesmo em hardware topo de linha.</w:t>
      </w:r>
    </w:p>
    <w:bookmarkEnd w:id="26"/>
    <w:bookmarkStart w:id="27" w:name="como-realmente-chegar-a-10.000-tps"/>
    <w:p>
      <w:pPr>
        <w:pStyle w:val="Heading3"/>
      </w:pPr>
      <w:r>
        <w:t xml:space="preserve">5.4 Como realmente chegar a 10.000 TPS</w:t>
      </w:r>
    </w:p>
    <w:p>
      <w:pPr>
        <w:pStyle w:val="FirstParagraph"/>
      </w:pPr>
      <w:r>
        <w:t xml:space="preserve">Há três caminhos (idealmente combinados):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Re-benchmark dos pesos em hardware moderno + ParityDB/NVMe.</w:t>
      </w:r>
      <w:r>
        <w:t xml:space="preserve"> </w:t>
      </w:r>
      <w:r>
        <w:t xml:space="preserve">Os pesos atuais</w:t>
      </w:r>
      <w:r>
        <w:t xml:space="preserve"> </w:t>
      </w:r>
      <w:r>
        <w:t xml:space="preserve">são dominados por I/O de disco calibrado em RocksDB. Migrar para</w:t>
      </w:r>
      <w:r>
        <w:t xml:space="preserve"> </w:t>
      </w:r>
      <w:r>
        <w:rPr>
          <w:bCs/>
          <w:b/>
        </w:rPr>
        <w:t xml:space="preserve">ParityDB</w:t>
      </w:r>
      <w:r>
        <w:t xml:space="preserve"> </w:t>
      </w:r>
      <w:r>
        <w:t xml:space="preserve">em</w:t>
      </w:r>
      <w:r>
        <w:t xml:space="preserve"> </w:t>
      </w:r>
      <w:r>
        <w:t xml:space="preserve">NVMe rápido e rodar</w:t>
      </w:r>
      <w:r>
        <w:t xml:space="preserve"> </w:t>
      </w:r>
      <w:r>
        <w:rPr>
          <w:rStyle w:val="VerbatimChar"/>
        </w:rPr>
        <w:t xml:space="preserve">cargo build --features runtime-benchmarks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benchmark    pallet</w:t>
      </w:r>
      <w:r>
        <w:t xml:space="preserve"> </w:t>
      </w:r>
      <w:r>
        <w:t xml:space="preserve">na máquina-alvo pode</w:t>
      </w:r>
      <w:r>
        <w:t xml:space="preserve"> </w:t>
      </w:r>
      <w:r>
        <w:rPr>
          <w:bCs/>
          <w:b/>
        </w:rPr>
        <w:t xml:space="preserve">reduzir o peso por transferência em ~2–3×</w:t>
      </w:r>
      <w:r>
        <w:t xml:space="preserve">,</w:t>
      </w:r>
      <w:r>
        <w:t xml:space="preserve"> </w:t>
      </w:r>
      <w:r>
        <w:t xml:space="preserve">dobrando/triplicando o teto de TPS.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Mandato de hardware topo de linha</w:t>
      </w:r>
      <w:r>
        <w:t xml:space="preserve"> </w:t>
      </w:r>
      <w:r>
        <w:t xml:space="preserve">para validadores (ver 5.5) + orçamento de</w:t>
      </w:r>
      <w:r>
        <w:t xml:space="preserve"> </w:t>
      </w:r>
      <w:r>
        <w:t xml:space="preserve">peso agressivo — aceitando</w:t>
      </w:r>
      <w:r>
        <w:t xml:space="preserve"> </w:t>
      </w:r>
      <w:r>
        <w:rPr>
          <w:bCs/>
          <w:b/>
        </w:rPr>
        <w:t xml:space="preserve">maior centralização</w:t>
      </w:r>
      <w:r>
        <w:t xml:space="preserve"> </w:t>
      </w:r>
      <w:r>
        <w:t xml:space="preserve">(poucos operadores conseguem</w:t>
      </w:r>
      <w:r>
        <w:t xml:space="preserve"> </w:t>
      </w:r>
      <w:r>
        <w:t xml:space="preserve">participar).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Migrar para 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polkadot-sdk</w:t>
      </w:r>
      <w:r>
        <w:rPr>
          <w:bCs/>
          <w:b/>
        </w:rPr>
        <w:t xml:space="preserve"> </w:t>
      </w:r>
      <w:r>
        <w:rPr>
          <w:bCs/>
          <w:b/>
        </w:rPr>
        <w:t xml:space="preserve">moderno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docs/MIGRATION_GUIDE.md</w:t>
      </w:r>
      <w:r>
        <w:t xml:space="preserve">), que</w:t>
      </w:r>
      <w:r>
        <w:t xml:space="preserve"> </w:t>
      </w:r>
      <w:r>
        <w:t xml:space="preserve">abre caminho para execução mais eficiente e futuras otimizações — é o caminho</w:t>
      </w:r>
      <w:r>
        <w:t xml:space="preserve"> </w:t>
      </w:r>
      <w:r>
        <w:t xml:space="preserve">sustentável de longo prazo.</w:t>
      </w:r>
    </w:p>
    <w:bookmarkEnd w:id="27"/>
    <w:bookmarkStart w:id="28" w:name="X3d2f51258b8a3f7c21ceb2cb9e8ef485e136614"/>
    <w:p>
      <w:pPr>
        <w:pStyle w:val="Heading3"/>
      </w:pPr>
      <w:r>
        <w:t xml:space="preserve">5.5 Requisito de hardware recomendado para esta configuração</w:t>
      </w:r>
    </w:p>
    <w:p>
      <w:pPr>
        <w:pStyle w:val="FirstParagraph"/>
      </w:pPr>
      <w:r>
        <w:t xml:space="preserve">Para operar um</w:t>
      </w:r>
      <w:r>
        <w:t xml:space="preserve"> </w:t>
      </w:r>
      <w:r>
        <w:rPr>
          <w:bCs/>
          <w:b/>
        </w:rPr>
        <w:t xml:space="preserve">validador</w:t>
      </w:r>
      <w:r>
        <w:t xml:space="preserve"> </w:t>
      </w:r>
      <w:r>
        <w:t xml:space="preserve">com a configuração agressiva (blocos de 1 s, orçamento</w:t>
      </w:r>
      <w:r>
        <w:t xml:space="preserve"> </w:t>
      </w:r>
      <w:r>
        <w:t xml:space="preserve">de 4 s de peso) com a maior chance de acompanhar a rede: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63"/>
        <w:gridCol w:w="3638"/>
        <w:gridCol w:w="33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(visando ~4–6k TPS reais)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(tentar ~10k TPS)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núcleos, single-thread ≥ 2× i7-7700K (ex.: Ryzen 7 7700X)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núcleos de altíssimo clock (Ryzen 9 7950X / i9-14900K / EPYC/Xeon de alto clock)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64–128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NVMe SSD 1 TB (ParityDB)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NVMe Gen4/Gen5 em RAID, alta IOPS, 2 TB+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simétrico, baixa latência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2,5–10 Gbps, latência mínima entre validadores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DB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--database paritydb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--database paritydb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--state-pruning</w:t>
            </w:r>
            <w:r>
              <w:t xml:space="preserve">/</w:t>
            </w:r>
            <w:r>
              <w:rPr>
                <w:rStyle w:val="VerbatimChar"/>
              </w:rPr>
              <w:t xml:space="preserve">--blocks-pruning</w:t>
            </w:r>
            <w:r>
              <w:t xml:space="preserve"> </w:t>
            </w:r>
            <w:r>
              <w:t xml:space="preserve">ajustados</w:t>
            </w:r>
          </w:p>
        </w:tc>
      </w:tr>
    </w:tbl>
    <w:p>
      <w:pPr>
        <w:pStyle w:val="BlockText"/>
      </w:pPr>
      <w:r>
        <w:t xml:space="preserve">Mesmo com o hardware</w:t>
      </w:r>
      <w:r>
        <w:t xml:space="preserve"> </w:t>
      </w:r>
      <w:r>
        <w:t xml:space="preserve">“</w:t>
      </w:r>
      <w:r>
        <w:t xml:space="preserve">recomendado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10.000 TPS sustentados não são garantidos</w:t>
      </w:r>
      <w:r>
        <w:t xml:space="preserve"> </w:t>
      </w:r>
      <w:r>
        <w:t xml:space="preserve">com o runtime v0.9.40 sequencial; trate como um alvo a</w:t>
      </w:r>
      <w:r>
        <w:t xml:space="preserve"> </w:t>
      </w:r>
      <w:r>
        <w:rPr>
          <w:bCs/>
          <w:b/>
        </w:rPr>
        <w:t xml:space="preserve">validar empiricamente em</w:t>
      </w:r>
      <w:r>
        <w:rPr>
          <w:bCs/>
          <w:b/>
        </w:rPr>
        <w:t xml:space="preserve"> </w:t>
      </w:r>
      <w:r>
        <w:rPr>
          <w:bCs/>
          <w:b/>
        </w:rPr>
        <w:t xml:space="preserve">testnet</w:t>
      </w:r>
      <w:r>
        <w:t xml:space="preserve"> </w:t>
      </w:r>
      <w:r>
        <w:t xml:space="preserve">com carga real, e não como número garantido.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resumo"/>
    <w:p>
      <w:pPr>
        <w:pStyle w:val="Heading2"/>
      </w:pPr>
      <w:r>
        <w:t xml:space="preserve">6. Resumo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75"/>
        <w:gridCol w:w="2475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~0,002 LUNES (transfer)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0,00200 LUNES; demais operações proporcionais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Demais taxas proporcionais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NFT 2,45×, contrato 13,76× — proporcionais ao 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de bloco 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 cadeia nova; slot não muda em cadeia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Capacidade ≥ 10.000 TPS (parâmetros)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~10.945 TPS teóricos com blocos cheios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Capacidade ≥ 10.000 TPS (física 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Não garantido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Teto realista ~4–6k TPS single-thread; precisa re-benchmark/ParityDB/migração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Requisito de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Documentado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seção 5.5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Recomendação:</w:t>
      </w:r>
      <w:r>
        <w:t xml:space="preserve"> </w:t>
      </w:r>
      <w:r>
        <w:t xml:space="preserve">compilar, rodar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, subir uma</w:t>
      </w:r>
      <w:r>
        <w:t xml:space="preserve"> </w:t>
      </w:r>
      <w:r>
        <w:rPr>
          <w:bCs/>
          <w:b/>
        </w:rPr>
        <w:t xml:space="preserve">testnet</w:t>
      </w:r>
      <w:r>
        <w:t xml:space="preserve"> </w:t>
      </w:r>
      <w:r>
        <w:t xml:space="preserve">com este runtime</w:t>
      </w:r>
      <w:r>
        <w:t xml:space="preserve"> </w:t>
      </w:r>
      <w:r>
        <w:t xml:space="preserve">e medir a capacidade real sob carga (com ParityDB no hardware-alvo). Se o objetivo de</w:t>
      </w:r>
      <w:r>
        <w:t xml:space="preserve"> </w:t>
      </w:r>
      <w:r>
        <w:t xml:space="preserve">10k TPS for firme, priorizar o</w:t>
      </w:r>
      <w:r>
        <w:t xml:space="preserve"> </w:t>
      </w:r>
      <w:r>
        <w:rPr>
          <w:bCs/>
          <w:b/>
        </w:rPr>
        <w:t xml:space="preserve">re-benchmark dos pesos</w:t>
      </w:r>
      <w:r>
        <w:t xml:space="preserve"> </w:t>
      </w:r>
      <w:r>
        <w:t xml:space="preserve">e a</w:t>
      </w:r>
      <w:r>
        <w:t xml:space="preserve"> </w:t>
      </w:r>
      <w:r>
        <w:rPr>
          <w:bCs/>
          <w:b/>
        </w:rPr>
        <w:t xml:space="preserve">migração para o</w:t>
      </w:r>
      <w:r>
        <w:rPr>
          <w:bCs/>
          <w:b/>
        </w:rPr>
        <w:t xml:space="preserve"> </w:t>
      </w:r>
      <w:r>
        <w:rPr>
          <w:bCs/>
          <w:b/>
        </w:rPr>
        <w:t xml:space="preserve">polkadot-sdk</w:t>
      </w:r>
      <w:r>
        <w:t xml:space="preserve">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2026-08-13T01:24:30Z</dcterms:created>
  <dcterms:modified xsi:type="dcterms:W3CDTF">2026-08-13T01:24:30Z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