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Dossier – Litige commercial</w:t>
      </w:r>
    </w:p>
    <w:p>
      <w:r>
        <w:t>La société NOVA Solutions a conclu en 2021 un contrat de fourniture de services informatiques avec la société KAPPA Industries. Le contrat prévoyait un engagement de résultats concernant la disponibilité de la plateforme fournie.</w:t>
      </w:r>
    </w:p>
    <w:p>
      <w:r>
        <w:t>À compter de mars 2023, plusieurs interruptions de service ont été constatées, entraînant une perte d’exploitation pour KAPPA Industries. Malgré plusieurs relances, les correctifs apportés par NOVA Solutions sont restés insuffisants.</w:t>
      </w:r>
    </w:p>
    <w:p>
      <w:r>
        <w:t>L’analyse juridique a été menée au regard des articles 1103 et 1217 du Code civil. Il a été envisagé une résolution partielle du contrat ainsi qu’une demande de dommages et intérêts.</w:t>
      </w:r>
    </w:p>
    <w:p>
      <w:r>
        <w:t>Une mise en demeure a été adressée le 12 juin 2023. Une négociation est actuellement en cours.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