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276" w:lineRule="auto"/>
        <w:rPr>
          <w:rFonts w:ascii="EB Garamond" w:cs="EB Garamond" w:eastAsia="EB Garamond" w:hAnsi="EB Garamond"/>
          <w:b w:val="1"/>
          <w:bCs w:val="1"/>
          <w:color w:val="000000"/>
          <w:sz w:val="26"/>
          <w:szCs w:val="26"/>
        </w:rPr>
      </w:pPr>
      <w:bookmarkStart w:colFirst="0" w:colLast="0" w:name="_70kus1p9w9ok" w:id="0"/>
      <w:bookmarkEnd w:id="0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6"/>
          <w:szCs w:val="26"/>
          <w:rtl w:val="0"/>
        </w:rPr>
        <w:t xml:space="preserve">Fase 1 — Gerenciamento do Projeto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1.1 Iniciação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Gerente do Projeto (Guilherme Marafon) Descrição: Elaboração e aprovação formal do Termo de Abertura do Projeto, designação oficial do gerente e registro das partes interessadas iniciais. Marca o início formal do projeto. Critério de aceite: TAP assinado pela patrocinadora (Rosilene Fernandes) e gerente do projeto.</w:t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1.2 Planejamento do Escopo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Gerente do Projeto Descrição: Elaboração da EAP com todos os níveis de decomposição, construção do Dicionário da EAP e definição do processo formal de controle de mudanças. Gera a linha de base do escopo. Critério de aceite: EAP e Dicionário aprovados pela patrocinadora e pelo Product Manager; processo de controle de mudanças documentado e comunicado à equipe.</w:t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1.3 Plano de Stakeholders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Gerente do Projeto Descrição: Identificação, classificação e registro dos 9 stakeholders do projeto com seus níveis de influência e impacto. Inclui a definição da estratégia de engajamento e do plano de comunicação (canais, frequência, responsável por cada comunicação). Critério de aceite: Mapa e registro de stakeholders entregues, com plano de comunicação documentado e validado pelo gerente.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1.4 Plano de Riscos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Gerente do Projeto Descrição: Identificação, análise qualitativa e planejamento de respostas para os 20 riscos mapeados, cobrindo categorias de gestão, técnico, organizacional, externo e aquisições. Inclui matriz de probabilidade × impacto e planos de contingência por risco. Critério de aceite: Planilha de riscos completa com probabilidade, impacto, severidade, ação, responsável e contingência preenchidos para todos os 20 riscos.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1.5 Acompanhamento e Controle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Gerente do Projeto Descrição: Execução dos rituais de acompanhamento ao longo de todo o projeto — reuniões semanais com registro em ata, status reports periódicos para a patrocinadora e monitoramento contínuo de cronograma, custos e riscos. Pacote transversal, ativo durante todas as fases. Critério de aceite: Atas de todas as reuniões realizadas arquivadas; desvios de cronograma e custo identificados e registrados formalmente; patrocinadora informada em todas as entregas relevantes.</w:t>
      </w:r>
    </w:p>
    <w:p w:rsidR="00000000" w:rsidDel="00000000" w:rsidP="00000000" w:rsidRDefault="00000000" w:rsidRPr="00000000" w14:paraId="00000008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1.6 Encerramento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Gerente do Projeto Descrição: Elaboração do relatório final de desempenho do projeto, consolidação das lições aprendidas com a equipe e obtenção do aceite formal da patrocinadora, encerrando oficialmente o projeto. Critério de aceite: Relatório de encerramento entregue e aceite formal assinado pela patrocinadora.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EB Garamond" w:cs="EB Garamond" w:eastAsia="EB Garamond" w:hAnsi="EB Garamond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6"/>
          <w:szCs w:val="26"/>
          <w:rtl w:val="0"/>
        </w:rPr>
        <w:t xml:space="preserve">Fase 2 — Definição e Design</w:t>
      </w:r>
    </w:p>
    <w:p w:rsidR="00000000" w:rsidDel="00000000" w:rsidP="00000000" w:rsidRDefault="00000000" w:rsidRPr="00000000" w14:paraId="0000000F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2.1 Registro de Requisitos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Product Manager + Gerente do Projeto Descrição: Documentação dos 25 requisitos funcionais e 6 requisitos não-funcionais com solicitante, prioridade e critérios de aceite por requisito. Inclui sessão de priorização com o PM e stakeholders-chave. Critério de aceite: Documento de requisitos aprovado pelo PM, com todos os RFs e RNFs classificados por prioridade e com critérios de aceite definidos.</w:t>
      </w:r>
    </w:p>
    <w:p w:rsidR="00000000" w:rsidDel="00000000" w:rsidP="00000000" w:rsidRDefault="00000000" w:rsidRPr="00000000" w14:paraId="00000010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2.2 Arquitetura do Sistema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Desenvolvedores + Product Manager Descrição: Definição da arquitetura dos 4 módulos do Kybernus CLI (CLI Core, Engine de Geração, Documentação IA e Telemetria), com contratos de interface entre eles e decisão sobre os serviços externos a serem utilizados (Google Gemini, PostHog, Supabase). Critério de aceite: Documento de arquitetura revisado e aprovado pela equipe de desenvolvimento e pelo PM, com interfaces entre módulos definidas e serviços externos escolhidos e validados.</w:t>
      </w:r>
    </w:p>
    <w:p w:rsidR="00000000" w:rsidDel="00000000" w:rsidP="00000000" w:rsidRDefault="00000000" w:rsidRPr="00000000" w14:paraId="00000011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2.3 Design dos Templates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Desenvolvedores Descrição: Especificação e prototipagem da estrutura de arquivos e pastas a ser gerada para cada combinação de stack (Node.js+Express, NestJS, Python FastAPI, Java Spring Boot, Next.js, n8n) com cada padrão arquitetural (MVC, Clean Architecture, Hexagonal), além dos templates DevOps (Docker, GitHub Actions, Terraform/AWS). Critério de aceite: Todas as combinações de stack × arquitetura especificadas; templates DevOps definidos; aprovação da equipe antes do início da implementação.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2.4 Design da Experiência CLI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Desenvolvedores + Product Manager Descrição: Definição do fluxo de interação do usuário com a ferramenta — menus visuais no terminal, sequência de perguntas, comportamento das flags não-interativas (--name, --stack, --template, --yes) para uso em scripts e pipelines CI/CD, e formato do painel de next steps exibido ao final da geração. Critério de aceite: Fluxo de interação documentado e validado pelo PM; flags não-interativas especificadas; painel de next steps definido para cada stack.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2.5 Validação e Baseline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Gerente do Projeto + Product Manager Descrição: Revisão formal do escopo técnico com toda a equipe, aprovação pelo PM e registro da baseline do escopo. A partir deste ponto, qualquer alteração exige passagem pelo processo de controle de mudanças. Critério de aceite: Baseline do escopo técnico registrada formalmente, com assinatura de aprovação do PM e comunicação à equipe.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276" w:lineRule="auto"/>
        <w:rPr>
          <w:rFonts w:ascii="EB Garamond" w:cs="EB Garamond" w:eastAsia="EB Garamond" w:hAnsi="EB Garamond"/>
          <w:b w:val="1"/>
          <w:bCs w:val="1"/>
          <w:color w:val="000000"/>
          <w:sz w:val="26"/>
          <w:szCs w:val="26"/>
        </w:rPr>
      </w:pPr>
      <w:bookmarkStart w:colFirst="0" w:colLast="0" w:name="_65t3vpnt6cur" w:id="1"/>
      <w:bookmarkEnd w:id="1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6"/>
          <w:szCs w:val="26"/>
          <w:rtl w:val="0"/>
        </w:rPr>
        <w:t xml:space="preserve">Fase 3 — Implementação das Funcionalidades</w:t>
      </w:r>
    </w:p>
    <w:p w:rsidR="00000000" w:rsidDel="00000000" w:rsidP="00000000" w:rsidRDefault="00000000" w:rsidRPr="00000000" w14:paraId="0000001F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3.1 CLI Core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Desenvolvedores Descrição: Implementação do núcleo da ferramenta — interface interativa de linha de comando com menus visuais (RNF02), captura do nome do projeto (RF02), escolha de stack (RF03) e arquitetura (RF04), suporte a flags não-interativas para automação (RF15) e comando kybernus doctor para verificação do ambiente local (RF14). Critério de aceite: Usuário consegue criar um projeto completo tanto via fluxo interativo quanto via flags; kybernus doctor valida Node.js, Python, Java e Docker com suas versões mínimas.</w:t>
      </w:r>
    </w:p>
    <w:p w:rsidR="00000000" w:rsidDel="00000000" w:rsidP="00000000" w:rsidRDefault="00000000" w:rsidRPr="00000000" w14:paraId="00000020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3.2 Engine de Geração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Desenvolvedores Descrição: Implementação do motor de geração de projetos, produzindo a estrutura completa de arquivos e pastas para cada combinação de stack e arquitetura suportada. Inclui as configurações específicas por stack — ts-node-dev + Prisma + TypeScript strict para Node.js (RF21), SQLAlchemy + Alembic + Pydantic v2 para FastAPI (RF22), Maven + Spring Data JPA + Hibernate para Spring Boot (RF23) — além dos arquivos base .env, ESLint e Prettier (RF20). Critério de aceite: Todos os arquivos gerados passam em validação de sintaxe sem erros; estrutura de pastas corresponde ao padrão arquitetural escolhido; critério de aceite do TAP atendido.</w:t>
      </w:r>
    </w:p>
    <w:p w:rsidR="00000000" w:rsidDel="00000000" w:rsidP="00000000" w:rsidRDefault="00000000" w:rsidRPr="00000000" w14:paraId="00000021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3.3 Módulo DevOps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Desenvolvedores Descrição: Implementação da geração opcional de infraestrutura DevOps — Dockerfile, pipeline GitHub Actions e configuração Terraform/AWS (RF05). Inclui o comando kybernus deploy, que gera arquivos de configuração para Vercel, Railway, Fly.io e Render respeitando as convenções de cada plataforma (RF13), e suporte ao uso de repositório GitHub próprio como template via flag --template (RF16). Critério de aceite: Arquivos DevOps gerados são válidos e compatíveis com as plataformas alvo; kybernus deploy gera configurações corretas para cada provedor; flag --template funciona com repositório externo.</w:t>
      </w:r>
    </w:p>
    <w:p w:rsidR="00000000" w:rsidDel="00000000" w:rsidP="00000000" w:rsidRDefault="00000000" w:rsidRPr="00000000" w14:paraId="00000022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3.4 Módulo de Extensões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Desenvolvedores Descrição: Implementação dos subcomandos de extensão via kybernus add — documentação interativa de API com Swagger (RF08), serviço de cache com Redis e container Docker (RF09), comunicação em tempo real com WebSocket (RF10) e Git hooks com Husky e lint-staged (RF11). Inclui o kybernus auth, que gera o boilerplate completo de autenticação JWT com controllers, services, middlewares e estrutura de tokens (RF12). Todos os comandos devem funcionar também em projetos não criados com o Kybernus (RF07). Critério de aceite: Cada subcomando de extensão gera os arquivos corretos para o stack ativo; kybernus auth produz estrutura JWT funcional; comandos funcionam em projetos externos.</w:t>
      </w:r>
    </w:p>
    <w:p w:rsidR="00000000" w:rsidDel="00000000" w:rsidP="00000000" w:rsidRDefault="00000000" w:rsidRPr="00000000" w14:paraId="00000023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3.5 Módulo de Documentação IA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Desenvolvedores Descrição: Implementação da integração com a API do Google Gemini para geração automática de documentação técnica — README descritivo e guias de uso — com base no contexto do projeto gerado (RF06). Inclui tratamento de erro adequado para quando o serviço estiver indisponível, informando o usuário e permitindo geração posterior. Critério de aceite: Módulo gera README e guia de uso coerentes com o stack e arquitetura escolhidos; comportamento de fallback funcionando corretamente quando API indisponível.</w:t>
      </w:r>
    </w:p>
    <w:p w:rsidR="00000000" w:rsidDel="00000000" w:rsidP="00000000" w:rsidRDefault="00000000" w:rsidRPr="00000000" w14:paraId="00000024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3.6 Módulo de Telemetria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Desenvolvedores Descrição: Implementação da coleta anônima de dados de uso via PostHog, sem rastreamento de dados pessoais identificáveis (RF19, RNF05). Inclui notificação obrigatória ao usuário na primeira execução sobre a coleta de dados, opção de opt-out via kybernus analytics --disable, e elaboração e implementação técnica da Política de Privacidade e Telemetria em conformidade com a LGPD — critério de aceite formal do TAP. Critério de aceite: Notificação de telemetria exibida obrigatoriamente no primeiro uso; opt-out funcional e persistente; Política de Privacidade elaborada e implementada no fluxo da ferramenta; nenhum dado pessoal identificável coletado.</w:t>
      </w:r>
    </w:p>
    <w:p w:rsidR="00000000" w:rsidDel="00000000" w:rsidP="00000000" w:rsidRDefault="00000000" w:rsidRPr="00000000" w14:paraId="00000025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3.7 Distribuição e Infraestrutura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Desenvolvedores Descrição: Publicação da ferramenta no registro npm como pacote executável via npx kybernus@latest sem instalação global prévia (RF24). Inclui garantia de compatibilidade multiplataforma em Windows, macOS e Linux sem configurações específicas por sistema (RNF01) e configuração do pipeline CI/CD do próprio projeto Kybernus. Critério de aceite: Ferramenta instalável e executável via npm em Windows, macOS e Linux; pipeline CI/CD automatizando build, testes e publicação de novas versões.</w:t>
      </w:r>
    </w:p>
    <w:p w:rsidR="00000000" w:rsidDel="00000000" w:rsidP="00000000" w:rsidRDefault="00000000" w:rsidRPr="00000000" w14:paraId="00000026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3.8 Funcionalidade de Cibersegurança 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Responsável: Desenvolvedores e GP Descrição: Com o aumento do escopo do projeto para incluir funcionalidades adicionais para atender o público de cibersegurança, faz-se necessário um novo módulo. Critério de aceite: Aceite formal do grupo representante dos especialistas em segurança da informação. </w:t>
      </w:r>
    </w:p>
    <w:p w:rsidR="00000000" w:rsidDel="00000000" w:rsidP="00000000" w:rsidRDefault="00000000" w:rsidRPr="00000000" w14:paraId="00000027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="276" w:lineRule="auto"/>
        <w:rPr>
          <w:rFonts w:ascii="EB Garamond" w:cs="EB Garamond" w:eastAsia="EB Garamond" w:hAnsi="EB Garamond"/>
          <w:b w:val="1"/>
          <w:bCs w:val="1"/>
          <w:color w:val="000000"/>
          <w:sz w:val="26"/>
          <w:szCs w:val="26"/>
        </w:rPr>
      </w:pPr>
      <w:bookmarkStart w:colFirst="0" w:colLast="0" w:name="_o49mk47oofw2" w:id="2"/>
      <w:bookmarkEnd w:id="2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6"/>
          <w:szCs w:val="26"/>
          <w:rtl w:val="0"/>
        </w:rPr>
        <w:t xml:space="preserve">Fase 4 — Testes e Documentação</w:t>
      </w:r>
    </w:p>
    <w:p w:rsidR="00000000" w:rsidDel="00000000" w:rsidP="00000000" w:rsidRDefault="00000000" w:rsidRPr="00000000" w14:paraId="00000038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4.1 Testes Automatizados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Desenvolvedores Descrição: Implementação de testes unitários para cada módulo da ferramenta e testes de integração entre módulos, garantindo que erros sejam identificados rapidamente (RNF04). Inclui validação automatizada de sintaxe dos arquivos gerados para cada combinação de stack e arquitetura. Critério de aceite: Cobertura de testes unitários implementada para todos os módulos; testes de integração executando sem falhas; validação de sintaxe dos arquivos gerados aprovada para todas as combinações suportadas.</w:t>
      </w:r>
    </w:p>
    <w:p w:rsidR="00000000" w:rsidDel="00000000" w:rsidP="00000000" w:rsidRDefault="00000000" w:rsidRPr="00000000" w14:paraId="00000039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4.2 Testes com Usuários Externos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Gerente do Projeto + Desenvolvedores Descrição: Recrutamento e condução de sessões de teste com pelo menos 5 desenvolvedores externos ao projeto. Cada participante deve instalar o CLI via gerenciador de pacotes e gerar um projeto funcional sem qualquer auxílio da equipe. Critério de aceite formal do TAP. Critério de aceite: Pelo menos 5 desenvolvedores externos participaram dos testes; 80% ou mais conseguiram instalar o CLI e gerar um projeto funcional sem suporte da equipe; resultados documentados/</w:t>
      </w:r>
    </w:p>
    <w:p w:rsidR="00000000" w:rsidDel="00000000" w:rsidP="00000000" w:rsidRDefault="00000000" w:rsidRPr="00000000" w14:paraId="0000003A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4.3 Validação dos Critérios de Aceite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Gerente do Projeto Descrição: Verificação formal de todos os critérios de aceite definidos no TAP antes da apresentação à patrocinadora — geração sem erros de sintaxe, testes externos com 80% de sucesso, Política de Privacidade implementada e repositório modelo com documentação completa. Critério de aceite: Checklist dos critérios do TAP 100% concluído e com evidências registradas; relatório de validação elaborado e aprovado internamente antes da entrega à patrocinadora.</w:t>
      </w:r>
    </w:p>
    <w:p w:rsidR="00000000" w:rsidDel="00000000" w:rsidP="00000000" w:rsidRDefault="00000000" w:rsidRPr="00000000" w14:paraId="0000003B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4.4 Documentação Técnica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Desenvolvedores + Gerente do Projeto Descrição: Elaboração do README completo do repositório modelo no GitHub — critério de aceite formal do TAP — incluindo descrição da ferramenta, instruções de instalação, exemplos de uso e guia de contribuição para a comunidade open-source. Inclui também documentação interna dos módulos para manutenção futura. Critério de aceite: Repositório modelo publicado no GitHub com documentação técnica completa; guia de contribuição disponível; documentação interna revisada pela equipe.</w:t>
      </w:r>
    </w:p>
    <w:p w:rsidR="00000000" w:rsidDel="00000000" w:rsidP="00000000" w:rsidRDefault="00000000" w:rsidRPr="00000000" w14:paraId="0000003C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4.5 Documentação do Usuário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Desenvolvedores + Product Manager Descrição: Elaboração do guia de instalação e uso da ferramenta, referência completa de todos os comandos disponíveis (init, add, auth, deploy, doctor, analytics) com suas flags e comportamentos, além de FAQ e seção de troubleshooting para os problemas mais comuns. Critério de aceite: Documentação do usuário publicada e acessível; todos os comandos e flags documentados; FAQ cobre os cenários de erro identificados nos testes com usuários externos.</w:t>
      </w:r>
    </w:p>
    <w:p w:rsidR="00000000" w:rsidDel="00000000" w:rsidP="00000000" w:rsidRDefault="00000000" w:rsidRPr="00000000" w14:paraId="0000003D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="276" w:lineRule="auto"/>
        <w:rPr>
          <w:rFonts w:ascii="EB Garamond" w:cs="EB Garamond" w:eastAsia="EB Garamond" w:hAnsi="EB Garamond"/>
          <w:b w:val="1"/>
          <w:bCs w:val="1"/>
          <w:color w:val="000000"/>
          <w:sz w:val="26"/>
          <w:szCs w:val="26"/>
        </w:rPr>
      </w:pPr>
      <w:bookmarkStart w:colFirst="0" w:colLast="0" w:name="_1iq8mi6a703s" w:id="3"/>
      <w:bookmarkEnd w:id="3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6"/>
          <w:szCs w:val="26"/>
          <w:rtl w:val="0"/>
        </w:rPr>
        <w:t xml:space="preserve">Fase 5 — Divulgação e Encerramento</w:t>
      </w:r>
    </w:p>
    <w:p w:rsidR="00000000" w:rsidDel="00000000" w:rsidP="00000000" w:rsidRDefault="00000000" w:rsidRPr="00000000" w14:paraId="00000042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5.1 Landing Page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Consultor de Marketing + Desenvolvedores Descrição: Desenvolvimento e publicação de página web pública com a descrição da ferramenta Kybernus CLI, instruções de instalação e uso, e links para a documentação, repositório GitHub e pacote npm (RF25). Critério de aceite formal do TAP — deve estar disponível antes do lançamento oficial. Critério de aceite: Landing page publicada e acessível publicamente antes do go-live; plano de lançamento aprovado formalmente conforme exigido no TAP.</w:t>
      </w:r>
    </w:p>
    <w:p w:rsidR="00000000" w:rsidDel="00000000" w:rsidP="00000000" w:rsidRDefault="00000000" w:rsidRPr="00000000" w14:paraId="00000043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5.2 Repositório Modelo GitHub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Desenvolvedores + Gerente do Projeto Descrição: Preparação e publicação do repositório público no GitHub com documentação técnica completa, incluindo README detalhado, arquivo CONTRIBUTING com instruções para contribuidores, e templates de issues e pull requests. Critério de aceite formal do TAP, voltado à recepção da comunidade open-source. Critério de aceite: Repositório público criado e com documentação completa conforme exigido no TAP; templates de issues e PR disponíveis; repositório referenciado na landing page e na documentação da ferramenta.</w:t>
      </w:r>
    </w:p>
    <w:p w:rsidR="00000000" w:rsidDel="00000000" w:rsidP="00000000" w:rsidRDefault="00000000" w:rsidRPr="00000000" w14:paraId="00000044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5.3 Estratégia e Materiais de Divulgação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Consultor de Marketing Descrição: Definição do plano de canais de divulgação (dev.to, Product Hunt, redes sociais, comunidades de desenvolvedores), produção dos conteúdos necessários e elaboração do comunicado oficial de lançamento. Coordenado pelo consultor de marketing com aprovação do PM. Critério de aceite: Plano de divulgação aprovado pelo PM; materiais de conteúdo produzidos e revisados; comunicado de lançamento redigido e pronto para publicação.</w:t>
      </w:r>
    </w:p>
    <w:p w:rsidR="00000000" w:rsidDel="00000000" w:rsidP="00000000" w:rsidRDefault="00000000" w:rsidRPr="00000000" w14:paraId="00000045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5.4 Go-live e Publicação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Desenvolvedores + Consultor de Marketing Descrição: Execução do deploy final da ferramenta, publicação da versão oficial no npm, ativação da landing page e lançamento da campanha de divulgação nos canais definidos. Inclui monitoramento inicial de erros e acompanhamento das métricas de instalação e uso via telemetria PostHog. Critério de aceite: Ferramenta publicada e instalável via npm; landing page e repositório modelo ativos; campanha de divulgação executada; monitoramento de erros ativo no pós-lançamento.</w:t>
      </w:r>
    </w:p>
    <w:p w:rsidR="00000000" w:rsidDel="00000000" w:rsidP="00000000" w:rsidRDefault="00000000" w:rsidRPr="00000000" w14:paraId="00000046">
      <w:pPr>
        <w:spacing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5.5 Encerramento Formal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Gerente do Projeto Descrição: Consolidação das métricas de adoção 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pós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-lançamento, coleta de feedback dos usuários, elaboração do relatório final de desempenho do projeto e registro das lições aprendidas com a equipe. Encerramento com aceite formal da patrocinadora. Critério de aceite: Relatório final entregue à patrocinadora com métricas de adoção, resumo das entregas e lições aprendidas; aceite formal assinado pela patrocinadora encerrando o projeto.</w:t>
      </w:r>
    </w:p>
    <w:p w:rsidR="00000000" w:rsidDel="00000000" w:rsidP="00000000" w:rsidRDefault="00000000" w:rsidRPr="00000000" w14:paraId="00000047">
      <w:pPr>
        <w:spacing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