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color w:val="4f81b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ANÁLISE DO IMPACTO DAS MUDANÇAS – GESTÃO DE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Identificação do projeto</w:t>
      </w:r>
    </w:p>
    <w:tbl>
      <w:tblPr>
        <w:tblStyle w:val="Table1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7"/>
        <w:gridCol w:w="6544"/>
        <w:tblGridChange w:id="0">
          <w:tblGrid>
            <w:gridCol w:w="2527"/>
            <w:gridCol w:w="65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Nome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Kybernus CLI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Equipe: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 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da análise: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31/05/2026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rFonts w:ascii="Calibri" w:cs="Calibri" w:eastAsia="Calibri" w:hAnsi="Calibri"/>
        </w:rPr>
      </w:pPr>
      <w:bookmarkStart w:colFirst="0" w:colLast="0" w:name="_heading=h.8vyne8iqrf0p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2. Descrição da mudança aprovada</w:t>
      </w:r>
    </w:p>
    <w:tbl>
      <w:tblPr>
        <w:tblStyle w:val="Table2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7"/>
        <w:gridCol w:w="6544"/>
        <w:tblGridChange w:id="0">
          <w:tblGrid>
            <w:gridCol w:w="2527"/>
            <w:gridCol w:w="654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Código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MUD-01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Descrição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Saída involuntária de um desenvolvedor durante a execução do projeto (fase de implementação). As tarefas remanescentes do recurso desligado devem ser redistribuídas entre os dois desenvolvedores restantes, 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Análise de impacto no projeto</w:t>
      </w:r>
    </w:p>
    <w:tbl>
      <w:tblPr>
        <w:tblStyle w:val="Table3"/>
        <w:tblW w:w="90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1361"/>
        <w:gridCol w:w="3402"/>
        <w:gridCol w:w="2494"/>
        <w:tblGridChange w:id="0">
          <w:tblGrid>
            <w:gridCol w:w="1814"/>
            <w:gridCol w:w="1361"/>
            <w:gridCol w:w="3402"/>
            <w:gridCol w:w="249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Área impactada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Houve impacto?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Descrição do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Ação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saída do desenvolvedor não altera o escopo funcional do produto. As mesmas entregas permanecem previstas.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alteração no escopo. Manter EAP e dicionário sem modificações.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projeto já apresenta defasagem de ~22 p.p. (40% real vs. 62% esperado em 31/05). A perda de 1 desenvolvedor pressiona ainda mais o cronograma das fases 3 e 4.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Replanejar distribuição de tarefas entre Dev #1 e Dev #2; priorizar caminho crítico; avaliar paralelização.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custo total do projeto, com o valor de contingência, permance de acordo com o TAP.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Recalcular custo total com base nas horas efetivas do recurso até o desligamento e nas horas redistribuídas.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Redução de 1 desenvolvedor (de 3 para 2). Carga das tarefas remanescentes deve ser absorvida pelos Devs #1 e #2, que já utilizavam 82,7% e 77,9% dos seus limites TAP, respectivamente.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edistribuir tarefas críticas; monitorar carga dos Devs #1 e #2 para evitar estouro do limite TAP.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pontos a serem levados em consideração no que desrespeita qualidade continuam os mesmos.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Riscos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Novos riscos: sobrecarga dos devs remanescentes, atraso no prazo final e descumprimento da meta de 80% de sucesso em testes externos.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Atualizar plano de riscos com novos itens e elevar probabilidade/impacto dos riscos de prazo já mapeados.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Aquisições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aquisição adicional necessária. A redistribuição é interna.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 partes interessadas no projeto continuam as mesmas.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periodicidade de comunicação das partes continua igual.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Nenhuma ação necessária.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Impacto no cronograma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Atividade impactada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Nova 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Impacto no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Redistribuição de tarefas das Fases 3 e 4 entre Dev #1 e Dev #2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devs: 273h (Dev#1) + 257h (Dev#2) + 309h (Dev#3)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 devs absorvem as tarefas remanescentes do dev desligado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Pressão adicional sobre prazo já defasado em ~22 p.p.; replanning urgente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92 – README completo do repositório (28h)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#3 | 12/06–16/06 | 28h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Redistribuir para Dev #1 (dentro da margem de 57h TAP)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Pré-requisito para IDs 93, 104, 105; deve iniciar em 12/06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93 – Guia de contribuição open-source (14h)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#3 | 17/06 | 14h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Redistribuir para Dev 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Depende do ID 92; impacto direto no ID 104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94 – Documentar módulos internos (14h)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#3 | 23/06 | 14h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Redistribuir para Dev 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 impacto no caminho crítico; possível paralelizar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96 – Guia de instalação e uso (20h) — c/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#3 + PM | 18/06 | 20h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Parte Dev #3 (~10h) → Dev #1; PM mantém sua parte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Pré-requisito para IDs 97, 98 e landing page (ID 101)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 97 – Documentar referência de comandos (20h)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#3 | 19/06 | 20h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Redistribuir para Dev 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Pré-requisito para landing page (ID 101)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IDs 98, 104, 105, 113 – FAQ, repositório público, monitoramento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#3 | 20–25/06 | 38h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IDs 98, 104, 105 → Dev #1 | ID 113 → Dev #2 (conhece telemetria)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Entregas finais Fase 5; sem folga de prazo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IDs 81 e 86 – Testes (parte Dev #3 ~20h)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 #1 + Dev #2 + Dev #3 | 08–11/06 | ~20h parte Dev #3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Absorver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entre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Dev #1 (~10h) e Dev #2 (~10h)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 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redistribuir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: ~137h vs. 130h margem TAP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Novo prazo estimado do projeto, se houver alteração: 01/07/2026 (mantido condicionalmente pois requer replanning imediato) 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O projeto apresenta defasagem de ~22 pontos percentuais (40% real vs 62% esperado) devido à saída do desenvolvedor (MUD-01) e à inclusão de 39h de escopo não previsto (MUD-02). O prazo de 01/07/2026 poderá ser mantido mediante replanning imediato e redistribuição otimizada das tarefas restantes. </w:t>
      </w:r>
    </w:p>
    <w:p w:rsidR="00000000" w:rsidDel="00000000" w:rsidP="00000000" w:rsidRDefault="00000000" w:rsidRPr="00000000" w14:paraId="00000060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Impacto nos custos</w:t>
      </w:r>
    </w:p>
    <w:tbl>
      <w:tblPr>
        <w:tblStyle w:val="Table5"/>
        <w:tblW w:w="87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1984"/>
        <w:gridCol w:w="1984"/>
        <w:gridCol w:w="1984"/>
        <w:tblGridChange w:id="0">
          <w:tblGrid>
            <w:gridCol w:w="2835"/>
            <w:gridCol w:w="1984"/>
            <w:gridCol w:w="1984"/>
            <w:gridCol w:w="19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Item de custo impactado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Custo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Novo custo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Diferença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Desenvolvedores (saída de 1 dev de 3)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R$ 24.750,00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R$ 17.450,00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-3.525,00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Horas extras possíveis (redistribuição sobrecarga)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+2.100,00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R$ +2.100,00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Novo custo total estimado do projeto: O custo vai continuar dentro do valor estipulado no TAP. 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mudança exige uso de reserva de contingência?  (   ) Sim   (   ) Não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Justificativa: Conseguimos alocar os desenvolvedores e usar os recursos financeiros desse desenvolvedor para redistribuir as horas de trabalho entre os membros restantes da equipe. </w:t>
      </w:r>
    </w:p>
    <w:p w:rsidR="00000000" w:rsidDel="00000000" w:rsidP="00000000" w:rsidRDefault="00000000" w:rsidRPr="00000000" w14:paraId="0000007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Impacto nos riscos</w:t>
      </w:r>
    </w:p>
    <w:tbl>
      <w:tblPr>
        <w:tblStyle w:val="Table6"/>
        <w:tblW w:w="101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2"/>
        <w:gridCol w:w="1608"/>
        <w:gridCol w:w="1330"/>
        <w:gridCol w:w="1358"/>
        <w:gridCol w:w="2165"/>
        <w:gridCol w:w="1575"/>
        <w:tblGridChange w:id="0">
          <w:tblGrid>
            <w:gridCol w:w="2152"/>
            <w:gridCol w:w="1608"/>
            <w:gridCol w:w="1330"/>
            <w:gridCol w:w="1358"/>
            <w:gridCol w:w="216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Risco novo ou alterado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Resposta planejada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Sobrecarga e erros pelos devs remanescentes (Dev#1 e Dev#2)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Replanejar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tarefas priorizando caminho crítico; monitorar carga semanal; reforçar pair review.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Gerente de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Atraso no prazo final (01/07/2026)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Média-Alta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Replanejar cronograma imediatamente; identificar tarefas paralelizáveis; monitorar marcos semanalmente.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Gerente de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Perda de conhecimento técnico do dev desligado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Documentar tarefas remanescentes; realizar reunião de transferência de conhecimento antes do desligamento.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Gerente de Projeto / Dev Líder</w:t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Decisão e documentos a atualizar</w:t>
      </w:r>
    </w:p>
    <w:tbl>
      <w:tblPr>
        <w:tblStyle w:val="Table7"/>
        <w:tblW w:w="1007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0"/>
        <w:gridCol w:w="6108"/>
        <w:tblGridChange w:id="0">
          <w:tblGrid>
            <w:gridCol w:w="3970"/>
            <w:gridCol w:w="61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 mudança será incorporada ao plano?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( X ) Sim   (   ) 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Documentos/áreas que precisam ser atualizados: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Cronograma (Gantt), Plano de Custos, Plano de Riscos.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Justificativa da decisão: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saída do desenvolvedor é uma ocorrência involuntária que precisa ser registrada e gerenciada formalmente para manter o controle do projeto. A incorporação ao plano é obrigatória para preservar a rastreabilidade, ajustar a baseline e garantir que o cronograma e os custos reflitam a nova realidade do projeto. </w:t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Síntese da análise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Descreva, em um parágrafo, o impacto geral da mudança no projeto.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Síntese: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MUD-01 (saída involuntária de um desenvolvedor) impacta principalmente os recursos humanos, o cronograma e os custos do projeto Kybernus CLI. Para incorpó-la, será necessário redistribuir as tarefas remanescentes das Fases 3 e 4 entre os Devs #1 e #2 — que possuem respectivamente 57h e 73h de margem em relação ao limite TAP — e atualizar o cronograma (Gantt), o Plano de Custos e o Plano de Riscos. O principal efeito sobre o projeto será a pressão adicional sobre o prazo de 01/07/2026, já comprometido pela defasagem de ~22 p.p. registrada em 31/05. Apesar dos impactos, a mudança é considerada plenamente gerenciável porque as margens de horas disponibilizadas no TAP permitem absorver a redistribuição sem extrapolar o orçamento. </w:t>
      </w:r>
    </w:p>
    <w:sectPr>
      <w:footerReference r:id="rId7" w:type="default"/>
      <w:pgSz w:h="15840" w:w="12240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Análise do Impacto das Mudanças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fLX93bbKgdHysxHNIPPASjC2LA==">CgMxLjAyDmguOHZ5bmU4aXFyZjBwOAByITF4WndFZnZKYmVjOWR1eEprckNkRFlDTFl6Y05Ca0k1dg==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