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ANÁLISE DO IMPACTO DAS MUDANÇAS – GESTÃO DE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Identificação do projeto</w:t>
      </w:r>
    </w:p>
    <w:tbl>
      <w:tblPr>
        <w:tblStyle w:val="Table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7"/>
        <w:gridCol w:w="6544"/>
        <w:tblGridChange w:id="0">
          <w:tblGrid>
            <w:gridCol w:w="2527"/>
            <w:gridCol w:w="65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Nome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Kybernus CLI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 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da análise: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31/05/2026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rFonts w:ascii="Calibri" w:cs="Calibri" w:eastAsia="Calibri" w:hAnsi="Calibri"/>
        </w:rPr>
      </w:pPr>
      <w:bookmarkStart w:colFirst="0" w:colLast="0" w:name="_heading=h.8vyne8iqrf0p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2. Descrição da mudança aprovada</w:t>
      </w:r>
    </w:p>
    <w:tbl>
      <w:tblPr>
        <w:tblStyle w:val="Table2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7"/>
        <w:gridCol w:w="6544"/>
        <w:tblGridChange w:id="0">
          <w:tblGrid>
            <w:gridCol w:w="2527"/>
            <w:gridCol w:w="65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Código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MUD-02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Descrição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Identificação de novo perfil de usuário não mapeado anteriormente (fase de implementação). A solução precisará atender a esse perfil, exigindo: novo perfil de acesso, regras de permissão e ajustes de segurança. A mudança gera uma carga adicional de 39 horas de desenvolvimento e foi aprovada formalmente pelo patrocinador.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Análise de impacto no projeto</w:t>
      </w:r>
    </w:p>
    <w:tbl>
      <w:tblPr>
        <w:tblStyle w:val="Table3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361"/>
        <w:gridCol w:w="3402"/>
        <w:gridCol w:w="2494"/>
        <w:tblGridChange w:id="0">
          <w:tblGrid>
            <w:gridCol w:w="1814"/>
            <w:gridCol w:w="1361"/>
            <w:gridCol w:w="3402"/>
            <w:gridCol w:w="249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Área impactada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Houve impacto?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Descrição do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Ação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escopo funcional é ampliado com a inclusão de: novo perfil de acesso, regras de permissão e ajustes de segurança (39h). Não previsto no baseline original.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Atualizar EAP com novo pacote de trabalho (Permissões e Segurança), Dicionário da EAP e baseline do escopo.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39h adicionais de desenvolvimento precisam ser alocadas na Fase 3 (Implementação), já defasada. O impacto se soma à pressão existente sobre o prazo de 01/07/2026.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Inserir novas tarefas no Gantt; priorizar entrega do módulo de acesso antes dos testes (Fase 4); avaliar paralelização.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valores do projeto continuam dentro do que foi estabelecido pelo TAP, então não precisa ser alterado.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39h adicionais devem ser alocadas a um dos desenvolvedores. Considerando a saída do dev (MUD-01 paralela), a carga recairá sobre Dev #1 ou Dev #2, que ainda possuem margem TAP.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Alocar as 39h ao dev com maior margem TAP disponível (Dev #2 com 73h de margem).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critérios de qualidade da aplicação desenvolvida continuam os mesmos.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Novo risco: falha de segurança no módulo de acesso (probabilidade média, impacto alto). Também aumenta o risco de atraso dado o escopo ampliado.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Incluir novo risco no Plano de Riscos; prever revisão de segurança dedicada antes do lançamento.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Aquisições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mudança não requer novas aquisições de ferramentas ou serviços externos. O desenvolvimento é realizado com a stack e infraestrutura já previstas.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partes interessadas no projeto continuam as mesmas.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periodicidade de comunicação das partes continua igual.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Impacto no cronograma</w:t>
      </w:r>
    </w:p>
    <w:tbl>
      <w:tblPr>
        <w:tblStyle w:val="Table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Atividade impactada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Nova 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Impacto no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Implementação de novo perfil de acesso e permissões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previsto (fora do baseline do escopo)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39h adicionais alocadas na Fase 3 — Implementação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~1 semana de acréscimo no cronograma; pré-requisito para testes da Fase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NOVA – Implementar novo perfil de acesso (~15h)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previsto no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#2 | 01/06–03/06 | ~15h (margem TAP: 73h disponíveis)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Pré-requisito para regras de permissão; sem conflito com ID 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NOVA – Implementar regras de permissão (~14h)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previsto no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#2 | 04/06–05/06 | ~14h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Deve ser concluído antes dos testes unitários (ID 81, 08/06)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NOVA – Ajustes de segurança e revisão (~10h)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previsto no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#2 | 08/06 | ~10h (paralelizar com ID 81)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Entrega do módulo completo antes das sessões externas (ID 86, 11/06)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81 – Testes unitários por 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08/06 | 40h | módulos originais apenas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Incluir testes do novo módulo de acesso/permissões na mesma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Critério de aceite do TAP deve se aplicar ao novo módulo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86 – Sessões com usuários externos (11/06)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11/06 | perfil de usuário original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Incluir cenário de uso com o novo perfil de acesso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Meta de 80% de sucesso deve considerar o novo perfil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89 – Checklist formal dos critérios do 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GP | 15–17/06 | critérios originais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Atualizar critérios de aceite para cobrir o novo 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Risco de não conformidade se não atualizado antes da validação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Novo prazo estimado do projeto, se houver alteração:  01/07/2026 (mantido — 39h alocáveis dentro da margem TAP do Dev #2) 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As 39h devem ser inseridas na semana de 01–08/06 (Dev #2, que possui 73h de margem TAP). A janela entre o fim da Fase 3 (ID 78, 05/06) e o início dos testes unitários (ID 81, 08/06) é adequada para as duas primeiras entregas. A terceira entrega (~10h) pode ser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paralelizada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 ID 81 em 08/06. O prazo de 01/07/2026 é mantido sem necessidade de reserva de contingência.</w:t>
      </w:r>
    </w:p>
    <w:p w:rsidR="00000000" w:rsidDel="00000000" w:rsidP="00000000" w:rsidRDefault="00000000" w:rsidRPr="00000000" w14:paraId="0000005B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Impacto nos custos</w:t>
      </w:r>
    </w:p>
    <w:tbl>
      <w:tblPr>
        <w:tblStyle w:val="Table5"/>
        <w:tblW w:w="87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1984"/>
        <w:gridCol w:w="1984"/>
        <w:gridCol w:w="1984"/>
        <w:tblGridChange w:id="0">
          <w:tblGrid>
            <w:gridCol w:w="2835"/>
            <w:gridCol w:w="1984"/>
            <w:gridCol w:w="1984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Item de custo impactado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Custo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Novo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Diferença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Desenvolvedores (39h absorvidas pela margem TAP do Dev #2)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R$ 24.750,00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R$ 24.750,00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R$ 2.400,00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R$ 2.400,00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Gerente de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R$ 4.800,00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R$ 4.800,00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R$ 32.450,00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R$ 32.450,00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Reserva de contingência (mantida)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R$ 3.245,00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R$ 3.245,00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R$ 35.695,00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R$ 35.695,00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R$ 0,00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Novo custo total estimado do projeto: R$ 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mudança exige uso de reserva de contingência?  (   ) Sim   ( X ) Não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As 39h adicionais cabem integralmente dentro da margem TAP do Dev #2 (73h disponíveis), portanto não há acréscimo de custo direto. A reserva de contingência é preservada para mitigar possíveis impactos futuros.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Impacto nos riscos</w:t>
      </w:r>
    </w:p>
    <w:tbl>
      <w:tblPr>
        <w:tblStyle w:val="Table6"/>
        <w:tblW w:w="101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2"/>
        <w:gridCol w:w="1608"/>
        <w:gridCol w:w="1330"/>
        <w:gridCol w:w="1358"/>
        <w:gridCol w:w="2165"/>
        <w:gridCol w:w="1575"/>
        <w:tblGridChange w:id="0">
          <w:tblGrid>
            <w:gridCol w:w="2152"/>
            <w:gridCol w:w="1608"/>
            <w:gridCol w:w="1330"/>
            <w:gridCol w:w="1358"/>
            <w:gridCol w:w="216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Risco novo ou alterado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Resposta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Falha de segurança no módulo de acesso e permissões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Incluir revisão de segurança dedicada e testes de autorização antes do lançamento.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#2 / Dev Líder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Atraso nas Fases 3 e 4 pelo acréscimo de 39h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Alocar 39h ao Dev #2 (73h de margem TAP); iniciar imediatamente e paralelo às tarefas atuais.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Gerente de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Critérios de aceite insuficientes para o novo perfil de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Definir critérios de aceite específicos para o módulo de permissões e validá-los com o patrocinador.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Manager</w:t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Decisão e documentos a atualizar</w:t>
      </w:r>
    </w:p>
    <w:tbl>
      <w:tblPr>
        <w:tblStyle w:val="Table7"/>
        <w:tblW w:w="100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0"/>
        <w:gridCol w:w="6108"/>
        <w:tblGridChange w:id="0">
          <w:tblGrid>
            <w:gridCol w:w="3970"/>
            <w:gridCol w:w="61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 mudança será incorporada ao plano?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 X ) Sim   (   ) 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Documentos/áreas que precisam ser atualizados: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EAP e Dicionário da EAP (baseline do escopo), Cronograma (Gantt), Matriz RACI, Plano de Riscos, Mapa de Stakeholders.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Justificativa da decisão: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mudança foi aprovada formalmente pelo patrocinador. A inclusão de suporte ao novo perfil de usuário agrega valor ao produto e atende uma necessidade real identificada durante a execução. As 39h adicionais são tecnicamente viáveis dentro das margens TAP disponíveis, e o custo resultante (R$ 35.695,00) permanece dentro do orçamento aprovado.</w:t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Síntese da análise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Síntese: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MUD-02 (identificação de novo perfil de usuário) impacta principalmente o escopo, o cronograma e os custos do projeto Kybernus CLI. Para incorpó-la, será necessário adicionar ao Gantt as 39 horas de desenvolvimento do módulo de acesso e permissões (alocadas preferencialmente ao Dev #2, que possui 73h de margem TAP), atualizar a EAP com o novo pacote de trabalho, definir critérios de aceite específicos para segurança e incluir a validação do novo perfil nos testes externos da Fase 4. O principal efeito sobre o projeto será o acréscimo de ~1 semana de esforço na Fase de Implementação, que pressiona o prazo já defasado de 01/07/2026. Apesar dos impactos, a mudança é considerada benéfica e plenamente viável porque o acréscimo de custo é marginal em relação ao orçamento TAP, as horas cabem dentro dos limites contratuais e a mudança já conta com aprovação formal do patrocinador. </w:t>
      </w:r>
    </w:p>
    <w:sectPr>
      <w:footerReference r:id="rId7" w:type="default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Análise do Impacto das Mudanças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3x8JtgwGM+nuVELpREQm9zgd+Q==">CgMxLjAyDmguOHZ5bmU4aXFyZjBwOAByITE2MGFBWDM2NWdCRFhsS2lWSHZFbGJmNDdRZHh5b3gteA==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