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hanging="360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Projeto: Kybernus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hanging="36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Plano de Gerenciamento de Projeto 1.0</w:t>
      </w:r>
    </w:p>
    <w:p w:rsidR="00000000" w:rsidDel="00000000" w:rsidP="00000000" w:rsidRDefault="00000000" w:rsidRPr="00000000" w14:paraId="00000012">
      <w:pPr>
        <w:ind w:left="1134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Integrantes da equipe: Amanda da Silva Freire, Giulia Salete Stefanelli Casteluci, Guilherme Gonçalves Marafon, Guilherme Reis Carvalho, Valentina Lago Raad, Vinícius </w:t>
      </w:r>
      <w:r w:rsidDel="00000000" w:rsidR="00000000" w:rsidRPr="00000000">
        <w:rPr>
          <w:sz w:val="40"/>
          <w:szCs w:val="40"/>
          <w:rtl w:val="0"/>
        </w:rPr>
        <w:t xml:space="preserve">Meier</w:t>
      </w:r>
      <w:r w:rsidDel="00000000" w:rsidR="00000000" w:rsidRPr="00000000">
        <w:rPr>
          <w:sz w:val="40"/>
          <w:szCs w:val="40"/>
          <w:rtl w:val="0"/>
        </w:rPr>
        <w:t xml:space="preserve"> Trevisan</w:t>
      </w:r>
    </w:p>
    <w:p w:rsidR="00000000" w:rsidDel="00000000" w:rsidP="00000000" w:rsidRDefault="00000000" w:rsidRPr="00000000" w14:paraId="00000013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GERAL DO PROJETO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projeto Kybernus CLI surge a partir da necessidade recorrente enfrentada por desenvolvedores no processo de configuração inicial de projetos de software. Essa etapa, frequentemente manual e repetitiva, tende a gerar inconsistências técnicas e arquiteturais, especialmente em ambientes onde múltiplas linguagens, frameworks e padrões são utilizados simultaneamente.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Diante desse cenário, o objetivo principal do projeto é automatizar a criação de estruturas iniciais de projetos de software, garantindo padronização, redução de tempo de setup e maior confiabilidade técnica desde o início do desenvolvimento. A solução proposta consiste em uma ferramenta de linha de comando (CLI) capaz de gerar projetos completos com base em escolhas do usuário, incluindo linguagem, framework e padrão arquitetural.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Como resultados esperados, o projeto visa: reduzir significativamente o tempo de inicialização de novos projetos; garantir consistência arquitetural e de infraestrutura; facilitar a adoção de boas práticas de desenvolvimento; disponibilizar documentação inicial automatizada com apoio de inteligência artificial; e apoiar tanto desenvolvedores individuais quanto equipes corporativas e comunidade open-source.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sucesso do projeto será medido pela capacidade da ferramenta em gerar projetos funcionais, pela aceitação dos usuários e pelo cumprimento dos critérios de qualidade definidos, como a execução sem erros e a validação por usuários externos. Por fim, o projeto tem duração de 4 meses (04/03/2026 a 01/07/2026) e orçamento de R$ 32.450,00.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escopo do projeto Kybernus CLI contempla o desenvolvimento de uma ferramenta composta por quatro módulos principais: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 Core</w:t>
      </w:r>
      <w:r w:rsidDel="00000000" w:rsidR="00000000" w:rsidRPr="00000000">
        <w:rPr>
          <w:rtl w:val="0"/>
        </w:rPr>
        <w:t xml:space="preserve">: responsável pela interação com o usuário e orquestração do sistema;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Engine de Geração</w:t>
      </w:r>
      <w:r w:rsidDel="00000000" w:rsidR="00000000" w:rsidRPr="00000000">
        <w:rPr>
          <w:rtl w:val="0"/>
        </w:rPr>
        <w:t xml:space="preserve">: responsável pela criação da estrutura de projetos;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Documentação</w:t>
      </w:r>
      <w:r w:rsidDel="00000000" w:rsidR="00000000" w:rsidRPr="00000000">
        <w:rPr>
          <w:rtl w:val="0"/>
        </w:rPr>
        <w:t xml:space="preserve">: integração com IA para geração automática de documentação;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Telemetria</w:t>
      </w:r>
      <w:r w:rsidDel="00000000" w:rsidR="00000000" w:rsidRPr="00000000">
        <w:rPr>
          <w:rtl w:val="0"/>
        </w:rPr>
        <w:t xml:space="preserve">: coleta de dados de uso de forma anônima.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produto será capaz de gerar projetos utilizando linguagens e frameworks previamente definidos, incluindo: </w:t>
      </w:r>
      <w:r w:rsidDel="00000000" w:rsidR="00000000" w:rsidRPr="00000000">
        <w:rPr>
          <w:rtl w:val="0"/>
        </w:rPr>
        <w:t xml:space="preserve">Next.js,</w:t>
      </w:r>
      <w:r w:rsidDel="00000000" w:rsidR="00000000" w:rsidRPr="00000000">
        <w:rPr>
          <w:rtl w:val="0"/>
        </w:rPr>
        <w:t xml:space="preserve"> Python com FastAPI, Java com Spring Boot, Node.js com Express, NestJS e n8n.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 suportará os seguintes padrões arquitetônicos: MVC, Clean Architecture e Arquitetura Hexagonal.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Premissas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planejamento considera que: os usuários possuem conhecimento intermediário ou avançado em desenvolvimento; as tecnologias utilizadas permanecerão estáveis durante o projeto; serviços externos (como APIs e ferramentas de telemetria) estarão disponíveis; a equipe manterá a disponibilidade de horas prevista no TAP; e o orçamento será aprovado dentro do prazo.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 projeto está limitado por: prazo fixo de 4 meses; orçamento máximo definido; tecnologias e arquiteturas previamente estabelecidas; disponibilidade parcial da equipe; e necessidade de aprovação formal para mudanças de escopo.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projeto será considerado concluído quando: a ferramenta gerar projetos completos sem erros de sintaxe; pelo menos 80% de usuários externos consigam utilizá-la sem suporte; a documentação e repositório estejam disponíveis publicamente; e a política de privacidade e telemetria esteja implementada.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 do Escopo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Não fazem parte deste projeto: suporte a linguagens e frameworks fora dos definidos; interface gráfica (GUI); customizações avançadas fora das opções padrão; e integrações com ferramentas externas não previstas.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EAP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EAP completo do projeto pode ser encontrado em: KybernusCLI/EAP/EAP_KybernusCLI_v3.drawio.png. E o dicionário do EAP pode ser encontrado em KybernusCLI/EAP/Dicionário do EAP.pdf.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Os marcos do projeto foram definidos de acordo com a tabela abaixo.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1. Marcos do Projeto</w:t>
      </w:r>
    </w:p>
    <w:sdt>
      <w:sdtPr>
        <w:lock w:val="contentLocked"/>
        <w:id w:val="-995641290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Marco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Gerenciamento do Projeto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11/03/2026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Definição e Design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01/04/2026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Implementação das Funcionalidades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03/06/2026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Testes e Documentação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17/06/2026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Divulgação e Encerramento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01/07/2026</w:t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cronograma detalhado do projeto, incluindo atividades, dependências e duração, está documentado em um artefato específico de planejamento temporal (Gráfico de Gantt), que deve ser consultado para análise completa da linha do tempo do projeto. </w:t>
      </w:r>
      <w:r w:rsidDel="00000000" w:rsidR="00000000" w:rsidRPr="00000000">
        <w:rPr>
          <w:rtl w:val="0"/>
        </w:rPr>
        <w:t xml:space="preserve">Esse</w:t>
      </w:r>
      <w:r w:rsidDel="00000000" w:rsidR="00000000" w:rsidRPr="00000000">
        <w:rPr>
          <w:rtl w:val="0"/>
        </w:rPr>
        <w:t xml:space="preserve"> documento pode ser encontrado em: KybernusCLI/Cronograma/Cronograma.gan. Já o relatório contendo as principais informações do projeto pode ser encontrado em: KybernusCLI/Cronograma/Cronograma.pdf.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CUSTOS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estimativa detalhada de custos, incluindo recursos humanos, infraestrutura e demais investimentos necessários, está descrita em um documento específico de gerenciamento de custos, contendo a decomposição por categoria e os valores consolidados do projeto. O custo total estimado é de R$32.450,00, composto por R$24.750,00 de desenvolvedores, R$4.800,00 do gerente de projetos, R$2.400,00 do product manager e R$500,00 de marketing. Infraestrutura opera em planos gratuitos. Detalhamento em: KybernusCLI/Planos/PlanoDeCusto_GP02.pdf.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 w:firstLine="720"/>
        <w:jc w:val="both"/>
        <w:rPr/>
      </w:pPr>
      <w:r w:rsidDel="00000000" w:rsidR="00000000" w:rsidRPr="00000000">
        <w:rPr>
          <w:rtl w:val="0"/>
        </w:rPr>
        <w:t xml:space="preserve">Os principais critérios de qualidade incluem: geração de projetos sem erros de sintaxe para todas as combinações suportadas; aprovação no teste de 80% de usuários externos; implementação da Política de Privacidade em conformidade com a LGPD; e entrega de 100% dos documentos acadêmicos dentro do prazo. Detalhamento em: KybernusCLI/Planos/PlanoDeQualidade_GP02.pdf.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2. Alocação de Recursos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2858791"/>
        <w:tag w:val="goog_rdk_1"/>
      </w:sdtPr>
      <w:sdtContent>
        <w:tbl>
          <w:tblPr>
            <w:tblStyle w:val="Table2"/>
            <w:tblW w:w="8504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Integrante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Papel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Dedicação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Guilherme Marafon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do Projeto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40h/mês × 4 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160h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Giulia Casteluci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20h/mês × 4 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80h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Vinícius Trevisan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Desenvolvedor #1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110h/mês × 3 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330h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Guilherme Reis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Desenvolvedor #2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110h/mês × 3 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330h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Amanda Freire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Desenvolvedor #3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110h/mês × 3 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330h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Valentina Lago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Marketing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20h/mês × 1 mês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20h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planejamento de recursos, abrangendo equipe, papéis, responsabilidades e alocação de esforço foi feito através do artefato de matriz RACI. Esse documento pode ser encontrado em: KybernusCLI/Requisitos/MatrizRACI_GP02.xlsx.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plano de comunicação, que define os fluxos de informação, frequência de reuniões, canais utilizados e responsáveis pela comunicação, está detalhado em um documento próprio para garantir alinhamento entre todas as partes interessadas. Esse documento pode ser encontrado em: KybernusCLI/Planos/PlanoDeComunicacao_GP02.pdf.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identificação, análise e planejamento de resposta aos riscos do projeto estão documentados em um plano de riscos específico, contendo a avaliação de probabilidade, impacto e estratégias de mitigação. Esse documento pode ser encontrado em: KybernusCLI/Planos/PlanoDeRiscos_GP02.xlsx.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planejamento de aquisições, incluindo uso de serviços externos e ferramentas necessárias, está descrito em documento próprio que detalha as necessidades e estratégias de obtenção.</w:t>
        <w:tab/>
        <w:t xml:space="preserve">Este documento pode ser encontrado em: KybernusCLI/Planos/PlanoDeAquisicoes_GP02.pdf.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</w:t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registro das partes interessadas e o plano de engajamento, incluindo análise de influência e estratégias de comunicação, estão documentados em um artefato específico de mapeamento de stakeholders. Esse documento pode ser encontrado em: KybernusCLI/Requisitos/MapaStakeholders_GP02.pdf.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TAP_GP02.pdf / EAP_KybernusCLI_v3.drawio.png / Dicionário do EAP.pdf / Cronograma.gan / MatrizRACI_GP02.xlsx / PlanoDeQualidade_GP02.pdf / PlanoDeCusto_GP02.pdf / PlanoDeComunicacao_GP02.pdf / PlanoDeRiscos_GP02.xlsx / PlanoDeAquisicoes_GP02.pdf / MapaStakeholders_GP02.pdf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426" w:firstLine="0"/>
        <w:jc w:val="both"/>
        <w:rPr/>
      </w:pPr>
      <w:bookmarkStart w:colFirst="0" w:colLast="0" w:name="_heading=h.qbx6k7vvnyu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mallCap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smallCaps w:val="1"/>
      <w:color w:val="1f3864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4472c4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uM7HR9y3/uZWZip3WbrwA2/Jg==">CgMxLjAaHgoBMBIZChcICVITChF0YWJsZS5sdmpqNHM4dmh5cRofCgExEhoKGAgJUhQKEnRhYmxlLnUyN2h1ajd1YTJqdTINaC5xYng2azd2dm55dTgAciExWGJROVhVODVld1p5eXNSeGI3RnpMSTRwOHY4WkJpMjk=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