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rPr>
          <w:b w:val="1"/>
          <w:bCs w:val="1"/>
        </w:rPr>
      </w:pPr>
      <w:bookmarkStart w:colFirst="0" w:colLast="0" w:name="_heading=h.y5kh33x04wxu" w:id="0"/>
      <w:bookmarkEnd w:id="0"/>
      <w:r w:rsidDel="00000000" w:rsidR="00000000" w:rsidRPr="00000000">
        <w:rPr>
          <w:b w:val="1"/>
          <w:bCs w:val="1"/>
          <w:rtl w:val="0"/>
        </w:rPr>
        <w:t xml:space="preserve">Gestão de Projetos – plano de aquisições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Nome do Projeto: Kybernus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f81bd"/>
        </w:rPr>
      </w:pPr>
      <w:r w:rsidDel="00000000" w:rsidR="00000000" w:rsidRPr="00000000">
        <w:rPr>
          <w:rtl w:val="0"/>
        </w:rPr>
        <w:t xml:space="preserve">Integrantes: Guilherme Marafon (GP), Giulia Castelucci (PM), Vinícius Trevisan (Dev #1), Guilherme Reis (Dev #2), Amanda Freire (Dev #3), Valentina Lago (Marketing)</w:t>
      </w:r>
      <w:r w:rsidDel="00000000" w:rsidR="00000000" w:rsidRPr="00000000">
        <w:rPr>
          <w:rtl w:val="0"/>
        </w:rPr>
      </w:r>
    </w:p>
    <w:tbl>
      <w:tblPr>
        <w:tblStyle w:val="Table1"/>
        <w:tblW w:w="1414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4"/>
        <w:gridCol w:w="2745"/>
        <w:gridCol w:w="1701"/>
        <w:gridCol w:w="3685"/>
        <w:gridCol w:w="2552"/>
        <w:gridCol w:w="2835"/>
        <w:tblGridChange w:id="0">
          <w:tblGrid>
            <w:gridCol w:w="624"/>
            <w:gridCol w:w="2745"/>
            <w:gridCol w:w="1701"/>
            <w:gridCol w:w="3685"/>
            <w:gridCol w:w="2552"/>
            <w:gridCol w:w="2835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a ser adquirido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Motivos para a compra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Fornecedores potenciais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estimado (unidade)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API de IA para geração de documentação (Google Gemini)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01 integração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Necessária para o Módulo de Documentação IA (RF06) — gera README e guias de uso automaticamente a partir do contexto do projeto gerado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Google Cloud (plano gratuito — Gemini API Free Tier)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R$ 0,00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Serviço de telemetria (PostHog)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01 instância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Necessário para o Módulo de Telemetria (RF19) — coleta anônima de dados de uso para orientar melhorias futuras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PostHog (plano gratuito — até 1M eventos/mês)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R$ 0,00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 em nuvem (Supabase)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01 instância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Suporte à infraestrutura de dados da ferramenta dentro dos limites do plano gratuito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Supabase (plano gratuito)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R$ 0,00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Publicação no registro npm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01 pacote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Necessária para distribuição da ferramenta (RF24), sem instalação global prévia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npm (gratuito para pacotes open-source)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R$ 0,00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Hospedagem da Landing Page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01 domínio/deploy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Necessária para publicação da página pública com descrição, instruções e links da ferramenta (RF25/critério TAP)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Vercel ou Netlify (plano gratuito para projetos open-source)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R$ 0,00</w:t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aquisições do projeto Kybernus CLI utilizam planos gratuitos de fornecedores externos, dentro dos limites técnicos estabelecidos para o escopo do projeto. Não há contratos comerciais a serem firmados nem custos de aquisição previstos no orçamento. A principal restrição a monitorar é a disponibilidade e estabilidade desses serviços externos, conforme mapeado no Plano de Riscos (riscos 16, 17 e 18 — indisponibilidade de API de IA, instabilidade de Supabase/PostHog e alterações regulatórias na LGPD).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1" w:top="1418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20" w:line="24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40" w:lineRule="auto"/>
      <w:ind w:left="576" w:hanging="576"/>
    </w:pPr>
    <w:rPr>
      <w:rFonts w:ascii="Cambria" w:cs="Cambria" w:eastAsia="Cambria" w:hAnsi="Cambria"/>
      <w:b w:val="1"/>
      <w:bCs w:val="1"/>
      <w:color w:val="2440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="240" w:lineRule="auto"/>
      <w:ind w:left="720" w:hanging="720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="2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PGaDfZebB1aQ65SAFAmFxge8Kw==">CgMxLjAyDmgueTVraDMzeDA0d3h1OAByITFTcEY2cDF3czV6LXFQSGFFeHhNM0M0eGlmcXpkcTRfNQ==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0x0101009C5DF44892B3C54498636B8E7E631705</vt:lpwstr>
  </property>
</Properties>
</file>