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de Projetos – expectativas das partes interessadas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Nome do Projeto: </w:t>
      </w:r>
      <w:r w:rsidDel="00000000" w:rsidR="00000000" w:rsidRPr="00000000">
        <w:rPr>
          <w:rtl w:val="0"/>
        </w:rPr>
        <w:t xml:space="preserve">Kybernus CLI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Integrantes: Guilherme Marafon (GP), Giulia Castelucci (PM), Vinícius Trevisan (Dev #1), Guilherme Reis (Dev #2), Amanda Freire (Dev #3), Valentina Lago (Marketing)</w:t>
      </w:r>
    </w:p>
    <w:tbl>
      <w:tblPr>
        <w:tblStyle w:val="Table1"/>
        <w:tblW w:w="857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"/>
        <w:gridCol w:w="1410"/>
        <w:gridCol w:w="6882"/>
        <w:tblGridChange w:id="0">
          <w:tblGrid>
            <w:gridCol w:w="283"/>
            <w:gridCol w:w="1410"/>
            <w:gridCol w:w="6882"/>
          </w:tblGrid>
        </w:tblGridChange>
      </w:tblGrid>
      <w:tr>
        <w:trPr>
          <w:cantSplit w:val="0"/>
          <w:trHeight w:val="140" w:hRule="atLeast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de engajamento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</w:tcPr>
          <w:bookmarkStart w:colFirst="0" w:colLast="0" w:name="bookmark=id.aasnvwnkftr1" w:id="0"/>
          <w:bookmarkEnd w:id="0"/>
          <w:bookmarkStart w:colFirst="0" w:colLast="0" w:name="bookmark=id.3uex6r81c6tx" w:id="1"/>
          <w:bookmarkEnd w:id="1"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Apoiador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Suporta o projeto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Neutro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Tem conhecimento sobre o projeto, porém, está neutro.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Resistente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 tiver oportunidade, prejudicará o andamento do projeto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Desinformado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Não tem informação sobre o projeto, por isso, não tem posição formada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Lidera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Engajado em garantir o sucesso do projeto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8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1810"/>
        <w:gridCol w:w="5812"/>
        <w:gridCol w:w="2410"/>
        <w:gridCol w:w="2551"/>
        <w:tblGridChange w:id="0">
          <w:tblGrid>
            <w:gridCol w:w="1275"/>
            <w:gridCol w:w="1810"/>
            <w:gridCol w:w="5812"/>
            <w:gridCol w:w="2410"/>
            <w:gridCol w:w="255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 interessada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de engajamento atual e desejado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Estratégias para ganhar mais suporte ou reduzir resistências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do impacto e 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Patrocinadora (Prof. Rosilene)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 =&gt; 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Manter reuniões periódicas de prestação de contas com entregas claras e critérios de aceite bem definidos. Envolvê-la nas decisões de escopo relevantes para reforçar o senso de pertencimento ao projeto.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Alto impacto. Como financiadora e aprovadora formal, sua falta de engajamento pode bloquear aprovações e comprometer o cronograma.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bookmarkStart w:colFirst="0" w:colLast="0" w:name="_heading=h.a4tmide77ard" w:id="2"/>
            <w:bookmarkEnd w:id="2"/>
            <w:r w:rsidDel="00000000" w:rsidR="00000000" w:rsidRPr="00000000">
              <w:rPr>
                <w:rtl w:val="0"/>
              </w:rPr>
              <w:t xml:space="preserve">Já demonstra suporte ativo ao projeto desde a assinatura do TAP.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Gerente de Projeto (Guilherme Marafon)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 =&gt; L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Manter autonomia para tomada de decisões operacionais e acesso às informações do projeto em tempo real via ClickUp.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Alto impacto. Responsável pelo planejamento, execução e prestação de contas. Qualquer desvio de engajamento afeta diretamente o cronograma.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Papel central no projeto. Engajamento pleno esperado durante todo o período.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Manager (Giulia Castelucci)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 =&gt; L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Envolver ativamente nas decisões de priorização de requisitos e validação de escopo. Garantir que suas contribuições sejam reconhecidas nas entregas do produto.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Alto impacto. Define as prioridades funcionais do Kybernus CLI. Baixo engajamento pode gerar escopo desalinhado com as necessidades do usuário.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Participação já confirmada nas etapas de levantamento de requisitos e design.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Desenvolvedores (Vinícius, Guilherme Reis, Amanda)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 =&gt; L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Garantir clareza nas tarefas e autonomia técnica nas decisões de implementação. Reconhecer contribuições individuais e evitar sobrecarga de horas além do previsto no TAP.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Alto impacto. Responsáveis pela implementação de todos os módulos do CLI. Qualquer resistência ou desmotivação compromete diretamente as entregas técnicas.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Garantir distribuição justa de carga horária entre os desenvolvedores para evitar sobrecargas. 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Consultor de Marketing (Valentina Lago)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 =&gt; 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Apresentar o impacto estratégico do lançamento do Kybernus CLI na comunidade open-source e o potencial de visibilidade para o próprio consultor. Envolvê-lo nas decisões de posicionamento desde o início da Fase 5.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Médio impacto. Responsável pela divulgação e lançamento. Engajamento tardio pode comprometer a qualidade dos materiais e o alcance do lançamento.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Atuação concentrada na Fase 5. Importante iniciar alinhamento estratégico ainda na Fase 4.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Tech Leads e Arquitetos de Software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 =&gt; 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Compartilhar a documentação técnica do projeto e os padrões </w:t>
            </w:r>
            <w:r w:rsidDel="00000000" w:rsidR="00000000" w:rsidRPr="00000000">
              <w:rPr>
                <w:rtl w:val="0"/>
              </w:rPr>
              <w:t xml:space="preserve">arquiteturais</w:t>
            </w:r>
            <w:r w:rsidDel="00000000" w:rsidR="00000000" w:rsidRPr="00000000">
              <w:rPr>
                <w:rtl w:val="0"/>
              </w:rPr>
              <w:t xml:space="preserve"> suportados (MVC, Clean, Hexagonal) para demonstrar valor. Convidá-los a participar dos testes com usuários externos.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Médio impacto. Influenciam a adoção da ferramenta em seus times. Podem se tornar multiplicadores do Kybernus CLI nas empresas onde atuam.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Stakeholders externos. Engajamento via comunidade open-source e testes da Fase 4.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Desenvolvedores Individuais (usuários finais)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 =&gt; 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Criar landing page clara com instruções de instalação e uso. Garantir que a ferramenta atenda ao critério de 80% de sucesso sem suporte nos testes externos.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Alto impacto. São o público-alvo principal. A adoção depende diretamente da experiência de uso e da qualidade da documentação gerada.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formal do TAP: ≥5 devs externos, 80% de sucesso.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Comunidade Open-Source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 =&gt; A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Preparar repositório modelo no GitHub com documentação completa, CONTRIBUTING e templates de issues/PR. Publicar no dev.to e Product Hunt no lançamento.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Médio impacto. Potenciais contribuidores e divulgadores. Engajamento da comunidade aumenta a sustentabilidade do projeto após o encerramento.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Potencial multiplicador do projeto a longo prazo. Engajamento depende da qualidade da documentação e da visibilidade no lançamento.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Empresas de Tecnologia 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 =&gt;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Monitorar interesse via telemetria de uso após o lançamento. Não há ação direta planejada dentro do prazo do projeto.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Baixo impacto. Não tem relação direta com o projeto, mas importantes na divulgação da ferramenta.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Potenciais adotantes em escala corporativa. Sem ação de engajamento direta neste ciclo.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1" w:top="1418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="24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  <w:ind w:left="576" w:hanging="576"/>
    </w:pPr>
    <w:rPr>
      <w:rFonts w:ascii="Cambria" w:cs="Cambria" w:eastAsia="Cambria" w:hAnsi="Cambria"/>
      <w:b w:val="1"/>
      <w:bCs w:val="1"/>
      <w:color w:val="2440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="240" w:lineRule="auto"/>
      <w:ind w:left="720" w:hanging="720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="2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R79lS2ClYAraz8EXtoFvvePNGA==">CgMxLjAyD2lkLmFhc252d25rZnRyMTIPaWQuM3VleDZyODFjNnR4Mg5oLmE0dG1pZGU3N2FyZDgAciExN0k5YW9TQXZqTlFfVmxYWUNNamJhNGJiNWllNkNBNnI=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0x0101009C5DF44892B3C54498636B8E7E631705</vt:lpwstr>
  </property>
</Properties>
</file>