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Kybernus CLI — Requisitos do Sistema</w:t>
      </w:r>
    </w:p>
    <w:p>
      <w:pPr>
        <w:pBdr>
          <w:bottom w:val="single" w:color="CCCCCC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Requisitos Funcionais (RF)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RF-01  </w:t>
      </w:r>
      <w:r>
        <w:rPr>
          <w:rFonts w:ascii="Arial" w:cs="Arial" w:eastAsia="Arial" w:hAnsi="Arial"/>
          <w:sz w:val="22"/>
          <w:szCs w:val="22"/>
        </w:rPr>
        <w:t xml:space="preserve">O sistema deve permitir que o usuário crie um novo projeto de software respondendo a uma série de perguntas simples no terminal, sem precisar configurar nada manualmente.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RF-02  </w:t>
      </w:r>
      <w:r>
        <w:rPr>
          <w:rFonts w:ascii="Arial" w:cs="Arial" w:eastAsia="Arial" w:hAnsi="Arial"/>
          <w:sz w:val="22"/>
          <w:szCs w:val="22"/>
        </w:rPr>
        <w:t xml:space="preserve">O sistema deve pedir ao usuário que escolha um nome para o projeto antes de começar a criar os arquivos.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RF-03  </w:t>
      </w:r>
      <w:r>
        <w:rPr>
          <w:rFonts w:ascii="Arial" w:cs="Arial" w:eastAsia="Arial" w:hAnsi="Arial"/>
          <w:sz w:val="22"/>
          <w:szCs w:val="22"/>
        </w:rPr>
        <w:t xml:space="preserve">O sistema deve permitir ao usuário escolher a tecnologia principal que será usada no projeto, entre as seguintes opções disponíveis: Node.js + Express, NestJS, Java Spring Boot, Python FastAPI, Next.js e n8n.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RF-04  </w:t>
      </w:r>
      <w:r>
        <w:rPr>
          <w:rFonts w:ascii="Arial" w:cs="Arial" w:eastAsia="Arial" w:hAnsi="Arial"/>
          <w:sz w:val="22"/>
          <w:szCs w:val="22"/>
        </w:rPr>
        <w:t xml:space="preserve">O sistema deve permitir ao usuário escolher de que forma o projeto será organizado internamente, entre três modelos de estrutura disponíveis: MVC, Clean Architecture ou Hexagonal Architecture.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RF-05  </w:t>
      </w:r>
      <w:r>
        <w:rPr>
          <w:rFonts w:ascii="Arial" w:cs="Arial" w:eastAsia="Arial" w:hAnsi="Arial"/>
          <w:sz w:val="22"/>
          <w:szCs w:val="22"/>
        </w:rPr>
        <w:t xml:space="preserve">O sistema deve oferecer ao usuário a opção de incluir, no projeto gerado, arquivos prontos de configuração para execução em ambiente isolado (Docker), integração contínua (GitHub Actions) e provisionamento de infraestrutura na nuvem (Terraform/AWS).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RF-06  </w:t>
      </w:r>
      <w:r>
        <w:rPr>
          <w:rFonts w:ascii="Arial" w:cs="Arial" w:eastAsia="Arial" w:hAnsi="Arial"/>
          <w:sz w:val="22"/>
          <w:szCs w:val="22"/>
        </w:rPr>
        <w:t xml:space="preserve">O sistema deve oferecer ao usuário a opção de gerar automaticamente uma documentação explicativa do projeto utilizando inteligência artificial (Google Gemini), dispensando a escrita manual.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RF-07  </w:t>
      </w:r>
      <w:r>
        <w:rPr>
          <w:rFonts w:ascii="Arial" w:cs="Arial" w:eastAsia="Arial" w:hAnsi="Arial"/>
          <w:sz w:val="22"/>
          <w:szCs w:val="22"/>
        </w:rPr>
        <w:t xml:space="preserve">O sistema deve permitir que novas funcionalidades sejam adicionadas a projetos já existentes por meio do comando kybernus add, mesmo que esses projetos não tenham sido criados com o Kybernus.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RF-08  </w:t>
      </w:r>
      <w:r>
        <w:rPr>
          <w:rFonts w:ascii="Arial" w:cs="Arial" w:eastAsia="Arial" w:hAnsi="Arial"/>
          <w:sz w:val="22"/>
          <w:szCs w:val="22"/>
        </w:rPr>
        <w:t xml:space="preserve">O sistema deve permitir a adição de uma página de documentação interativa da API ao projeto via kybernus add swagger, onde os endpoints disponíveis possam ser visualizados e testados diretamente pelo navegador.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RF-09  </w:t>
      </w:r>
      <w:r>
        <w:rPr>
          <w:rFonts w:ascii="Arial" w:cs="Arial" w:eastAsia="Arial" w:hAnsi="Arial"/>
          <w:sz w:val="22"/>
          <w:szCs w:val="22"/>
        </w:rPr>
        <w:t xml:space="preserve">O sistema deve permitir a adição de um serviço de cache via kybernus add redis, incluindo a configuração do container Docker correspondente para uso em ambiente de desenvolvimento e produção.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RF-10  </w:t>
      </w:r>
      <w:r>
        <w:rPr>
          <w:rFonts w:ascii="Arial" w:cs="Arial" w:eastAsia="Arial" w:hAnsi="Arial"/>
          <w:sz w:val="22"/>
          <w:szCs w:val="22"/>
        </w:rPr>
        <w:t xml:space="preserve">O sistema deve permitir a adição de suporte a comunicação bidirecional em tempo real via kybernus add websocket, gerando a configuração do servidor e os handlers necessários para o stack selecionado.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RF-11  </w:t>
      </w:r>
      <w:r>
        <w:rPr>
          <w:rFonts w:ascii="Arial" w:cs="Arial" w:eastAsia="Arial" w:hAnsi="Arial"/>
          <w:sz w:val="22"/>
          <w:szCs w:val="22"/>
        </w:rPr>
        <w:t xml:space="preserve">O sistema deve permitir a adição de Git hooks automatizados via kybernus add husky, incluindo lint-staged e regras de commit linting para garantir padronização do código antes de cada commit.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RF-12  </w:t>
      </w:r>
      <w:r>
        <w:rPr>
          <w:rFonts w:ascii="Arial" w:cs="Arial" w:eastAsia="Arial" w:hAnsi="Arial"/>
          <w:sz w:val="22"/>
          <w:szCs w:val="22"/>
        </w:rPr>
        <w:t xml:space="preserve">O sistema deve gerar, via kybernus auth, o boilerplate completo de autenticação JWT para o stack selecionado, contemplando controllers, services, middlewares de proteção de rotas e estrutura de tokens de acesso e refresh.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RF-13  </w:t>
      </w:r>
      <w:r>
        <w:rPr>
          <w:rFonts w:ascii="Arial" w:cs="Arial" w:eastAsia="Arial" w:hAnsi="Arial"/>
          <w:sz w:val="22"/>
          <w:szCs w:val="22"/>
        </w:rPr>
        <w:t xml:space="preserve">O comando kybernus deploy deve gerar os arquivos de configuração de deployment para as plataformas Vercel, Railway, Fly.io e Render, respeitando as convenções de cada provedor conforme o stack do projeto.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RF-14  </w:t>
      </w:r>
      <w:r>
        <w:rPr>
          <w:rFonts w:ascii="Arial" w:cs="Arial" w:eastAsia="Arial" w:hAnsi="Arial"/>
          <w:sz w:val="22"/>
          <w:szCs w:val="22"/>
        </w:rPr>
        <w:t xml:space="preserve">O comando kybernus doctor deve inspecionar o ambiente local do usuário, verificando a presença e as versões mínimas exigidas de Node.js, Python, Java e Docker, além de validar a existência das variáveis de ambiente requeridas.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RF-15  </w:t>
      </w:r>
      <w:r>
        <w:rPr>
          <w:rFonts w:ascii="Arial" w:cs="Arial" w:eastAsia="Arial" w:hAnsi="Arial"/>
          <w:sz w:val="22"/>
          <w:szCs w:val="22"/>
        </w:rPr>
        <w:t xml:space="preserve">O comando init deve aceitar flags de linha de comando — --name, --stack, --template e --yes — permitindo execução totalmente não-interativa e integração com scripts de automação e pipelines CI/CD.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RF-16  </w:t>
      </w:r>
      <w:r>
        <w:rPr>
          <w:rFonts w:ascii="Arial" w:cs="Arial" w:eastAsia="Arial" w:hAnsi="Arial"/>
          <w:sz w:val="22"/>
          <w:szCs w:val="22"/>
        </w:rPr>
        <w:t xml:space="preserve">O sistema deve suportar a flag --template user/repo no comando init, permitindo que o usuário utilize um repositório GitHub próprio como template base, substituindo os templates padrão do Kybernus.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RF-17  </w:t>
      </w:r>
      <w:r>
        <w:rPr>
          <w:rFonts w:ascii="Arial" w:cs="Arial" w:eastAsia="Arial" w:hAnsi="Arial"/>
          <w:sz w:val="22"/>
          <w:szCs w:val="22"/>
        </w:rPr>
        <w:t xml:space="preserve">Ao selecionar a stack n8n, o sistema deve oferecer quatro templates de caso de uso: Default (infraestrutura limpa), AI Assistant (arquitetura webhook + OpenAI), CRM Tracker (integração Google Sheets → HubSpot via schedule) e System Monitor (uptime monitoring com alertas via Discord Webhook).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RF-18  </w:t>
      </w:r>
      <w:r>
        <w:rPr>
          <w:rFonts w:ascii="Arial" w:cs="Arial" w:eastAsia="Arial" w:hAnsi="Arial"/>
          <w:sz w:val="22"/>
          <w:szCs w:val="22"/>
        </w:rPr>
        <w:t xml:space="preserve">Ao concluir a geração do projeto, o sistema deve exibir um painel de next steps no terminal com os comandos específicos para instalação de dependências (npm install, pip install, mvn install etc.) e inicialização do servidor conforme a stack escolhida.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RF-19  </w:t>
      </w:r>
      <w:r>
        <w:rPr>
          <w:rFonts w:ascii="Arial" w:cs="Arial" w:eastAsia="Arial" w:hAnsi="Arial"/>
          <w:sz w:val="22"/>
          <w:szCs w:val="22"/>
        </w:rPr>
        <w:t xml:space="preserve">O sistema deve coletar telemetria anônima de uso para fins de melhoria da ferramenta, sem rastrear dados pessoais identificáveis. O opt-out deve ser possível a qualquer momento via kybernus analytics --disable, e o usuário deve ser notificado sobre a coleta na primeira execução.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RF-20  </w:t>
      </w:r>
      <w:r>
        <w:rPr>
          <w:rFonts w:ascii="Arial" w:cs="Arial" w:eastAsia="Arial" w:hAnsi="Arial"/>
          <w:sz w:val="22"/>
          <w:szCs w:val="22"/>
        </w:rPr>
        <w:t xml:space="preserve">O sistema deve gerar, independentemente da stack, os arquivos de configuração padronizados do projeto: .env com variáveis de ambiente base, configuração do ESLint para análise estática e Prettier para formatação de código.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RF-21  </w:t>
      </w:r>
      <w:r>
        <w:rPr>
          <w:rFonts w:ascii="Arial" w:cs="Arial" w:eastAsia="Arial" w:hAnsi="Arial"/>
          <w:sz w:val="22"/>
          <w:szCs w:val="22"/>
        </w:rPr>
        <w:t xml:space="preserve">Para projetos Node.js + Express, o sistema deve gerar configuração com ts-node-dev para hot reloading em desenvolvimento, Prisma ORM como camada de acesso a dados e TypeScript em modo strict.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RF-22  </w:t>
      </w:r>
      <w:r>
        <w:rPr>
          <w:rFonts w:ascii="Arial" w:cs="Arial" w:eastAsia="Arial" w:hAnsi="Arial"/>
          <w:sz w:val="22"/>
          <w:szCs w:val="22"/>
        </w:rPr>
        <w:t xml:space="preserve">Para projetos Python FastAPI, o sistema deve gerar configuração com SQLAlchemy assíncrono como ORM, Alembic para gerenciamento de migrations, Pydantic v2 para validação de schemas e suporte a async/await nativo.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RF-23  </w:t>
      </w:r>
      <w:r>
        <w:rPr>
          <w:rFonts w:ascii="Arial" w:cs="Arial" w:eastAsia="Arial" w:hAnsi="Arial"/>
          <w:sz w:val="22"/>
          <w:szCs w:val="22"/>
        </w:rPr>
        <w:t xml:space="preserve">Para projetos Java Spring Boot, o sistema deve gerar configuração com Maven como build tool, Spring Web MVC para exposição de endpoints REST, Spring Data JPA com Hibernate como ORM e compatibilidade com Java 17+.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RF-24  </w:t>
      </w:r>
      <w:r>
        <w:rPr>
          <w:rFonts w:ascii="Arial" w:cs="Arial" w:eastAsia="Arial" w:hAnsi="Arial"/>
          <w:sz w:val="22"/>
          <w:szCs w:val="22"/>
        </w:rPr>
        <w:t xml:space="preserve">O sistema deve ser distribuído como pacote npm e executável via npx kybernus@latest sem instalação global prévia, sempre resolvendo a versão mais recente publicada no registry.</w:t>
      </w:r>
    </w:p>
    <w:p>
      <w:pPr>
        <w:pBdr>
          <w:bottom w:val="single" w:color="CCCCCC" w:sz="4" w:space="4"/>
        </w:pBdr>
        <w:spacing w:before="360" w:after="1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Requisitos Não Funcionais (RNF)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RNF-01  </w:t>
      </w:r>
      <w:r>
        <w:rPr>
          <w:rFonts w:ascii="Arial" w:cs="Arial" w:eastAsia="Arial" w:hAnsi="Arial"/>
          <w:sz w:val="22"/>
          <w:szCs w:val="22"/>
        </w:rPr>
        <w:t xml:space="preserve">O sistema deve funcionar nos três principais sistemas operacionais de desktop — Windows, macOS e Linux —, tendo como único pré-requisito a instalação do Node.js na versão 18 ou superior.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RNF-02  </w:t>
      </w:r>
      <w:r>
        <w:rPr>
          <w:rFonts w:ascii="Arial" w:cs="Arial" w:eastAsia="Arial" w:hAnsi="Arial"/>
          <w:sz w:val="22"/>
          <w:szCs w:val="22"/>
        </w:rPr>
        <w:t xml:space="preserve">O wizard interativo deve utilizar elementos visuais no terminal — ícones, separadores e indicadores de progresso — para tornar a navegação clara e intuitiva, sem que o usuário precise consultar documentação externa.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RNF-03  </w:t>
      </w:r>
      <w:r>
        <w:rPr>
          <w:rFonts w:ascii="Arial" w:cs="Arial" w:eastAsia="Arial" w:hAnsi="Arial"/>
          <w:sz w:val="22"/>
          <w:szCs w:val="22"/>
        </w:rPr>
        <w:t xml:space="preserve">Todas as funcionalidades, stacks e arquiteturas disponíveis no sistema devem ser 100% gratuitas e distribuídas sob licença MIT, sem restrições por plano pago, paywall ou necessidade de criação de conta.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RNF-04  </w:t>
      </w:r>
      <w:r>
        <w:rPr>
          <w:rFonts w:ascii="Arial" w:cs="Arial" w:eastAsia="Arial" w:hAnsi="Arial"/>
          <w:sz w:val="22"/>
          <w:szCs w:val="22"/>
        </w:rPr>
        <w:t xml:space="preserve">O código-fonte do CLI deve ser inteiramente desenvolvido em TypeScript, com cobertura de testes automatizados via Vitest, garantindo facilidade de manutenção, detecção de regressões e contribuição por parte da comunidade.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RNF-05  </w:t>
      </w:r>
      <w:r>
        <w:rPr>
          <w:rFonts w:ascii="Arial" w:cs="Arial" w:eastAsia="Arial" w:hAnsi="Arial"/>
          <w:sz w:val="22"/>
          <w:szCs w:val="22"/>
        </w:rPr>
        <w:t xml:space="preserve">A coleta de telemetria deve ser anônima e não deve registrar qualquer dado pessoal identificável. O tratamento dos dados coletados deve estar em conformidade com a Lei Geral de Proteção de Dados (LGPD), incluindo base legal, finalidade declarada e possibilidade de opt-out.</w:t>
      </w:r>
    </w:p>
    <w:p>
      <w:pPr>
        <w:spacing w:before="100" w:after="100"/>
      </w:pPr>
      <w:r>
        <w:rPr>
          <w:rFonts w:ascii="Arial" w:cs="Arial" w:eastAsia="Arial" w:hAnsi="Arial"/>
          <w:b/>
          <w:bCs/>
          <w:color w:val="1F497D"/>
          <w:sz w:val="22"/>
          <w:szCs w:val="22"/>
        </w:rPr>
        <w:t xml:space="preserve">RNF-06  </w:t>
      </w:r>
      <w:r>
        <w:rPr>
          <w:rFonts w:ascii="Arial" w:cs="Arial" w:eastAsia="Arial" w:hAnsi="Arial"/>
          <w:sz w:val="22"/>
          <w:szCs w:val="22"/>
        </w:rPr>
        <w:t xml:space="preserve">Os projetos gerados devem seguir o princípio de separação de responsabilidades conforme o padrão arquitetural escolhido (MVC, Clean Architecture ou Hexagonal), garantindo baixo acoplamento entre camadas e facilitando a escalabilidade e manutenção do sistema a longo prazo.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2026-03-26T00:08:17.837Z</dcterms:created>
  <dcterms:modified xsi:type="dcterms:W3CDTF">2026-03-26T00:08:17.837Z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