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DF2D7" w14:textId="77777777" w:rsidR="00B9224C" w:rsidRDefault="00AD5B5B">
      <w:pPr>
        <w:spacing w:after="60"/>
      </w:pPr>
      <w:r>
        <w:rPr>
          <w:rFonts w:ascii="Calibri" w:eastAsia="Calibri" w:hAnsi="Calibri" w:cs="Calibri"/>
          <w:b/>
          <w:bCs/>
          <w:sz w:val="32"/>
          <w:szCs w:val="32"/>
        </w:rPr>
        <w:t>002 — Push notifications (lembrete de consulta)</w:t>
      </w:r>
    </w:p>
    <w:p w14:paraId="61C9FAF8" w14:textId="77777777" w:rsidR="00B9224C" w:rsidRDefault="00AD5B5B">
      <w:pPr>
        <w:spacing w:after="200"/>
      </w:pPr>
      <w:r>
        <w:rPr>
          <w:rFonts w:ascii="Calibri" w:eastAsia="Calibri" w:hAnsi="Calibri" w:cs="Calibri"/>
          <w:i/>
          <w:iCs/>
        </w:rPr>
        <w:t>Registro de Decisão Arquitetural (ADR)</w:t>
      </w:r>
    </w:p>
    <w:p w14:paraId="1CADE645" w14:textId="77777777" w:rsidR="00B9224C" w:rsidRDefault="00AD5B5B">
      <w:pPr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Identificação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B9224C" w14:paraId="0BAE6D7A" w14:textId="77777777">
        <w:tc>
          <w:tcPr>
            <w:tcW w:w="2500" w:type="dxa"/>
            <w:shd w:val="clear" w:color="auto" w:fill="EDEDED"/>
          </w:tcPr>
          <w:p w14:paraId="5667A74D" w14:textId="77777777" w:rsidR="00B9224C" w:rsidRDefault="00AD5B5B">
            <w:r>
              <w:rPr>
                <w:rFonts w:ascii="Calibri" w:eastAsia="Calibri" w:hAnsi="Calibri" w:cs="Calibri"/>
                <w:b/>
                <w:bCs/>
              </w:rPr>
              <w:t>Número e título</w:t>
            </w:r>
          </w:p>
        </w:tc>
        <w:tc>
          <w:tcPr>
            <w:tcW w:w="6500" w:type="dxa"/>
          </w:tcPr>
          <w:p w14:paraId="618A24B0" w14:textId="77777777" w:rsidR="00B9224C" w:rsidRDefault="00AD5B5B">
            <w:r>
              <w:rPr>
                <w:rFonts w:ascii="Calibri" w:eastAsia="Calibri" w:hAnsi="Calibri" w:cs="Calibri"/>
              </w:rPr>
              <w:t>002 — Push notifications (lembrete de consulta)</w:t>
            </w:r>
          </w:p>
        </w:tc>
      </w:tr>
      <w:tr w:rsidR="00B9224C" w14:paraId="1F75BE42" w14:textId="77777777">
        <w:tc>
          <w:tcPr>
            <w:tcW w:w="2500" w:type="dxa"/>
            <w:shd w:val="clear" w:color="auto" w:fill="EDEDED"/>
          </w:tcPr>
          <w:p w14:paraId="3DAA8643" w14:textId="77777777" w:rsidR="00B9224C" w:rsidRDefault="00AD5B5B">
            <w:r>
              <w:rPr>
                <w:rFonts w:ascii="Calibri" w:eastAsia="Calibri" w:hAnsi="Calibri" w:cs="Calibri"/>
                <w:b/>
                <w:bCs/>
              </w:rPr>
              <w:t>Squad</w:t>
            </w:r>
          </w:p>
        </w:tc>
        <w:tc>
          <w:tcPr>
            <w:tcW w:w="6500" w:type="dxa"/>
          </w:tcPr>
          <w:p w14:paraId="51ED80DF" w14:textId="77A850D9" w:rsidR="00B9224C" w:rsidRDefault="006D5C7E">
            <w:r>
              <w:t>Clinic Hub</w:t>
            </w:r>
          </w:p>
        </w:tc>
      </w:tr>
      <w:tr w:rsidR="00B9224C" w14:paraId="4AB6D204" w14:textId="77777777">
        <w:tc>
          <w:tcPr>
            <w:tcW w:w="2500" w:type="dxa"/>
            <w:shd w:val="clear" w:color="auto" w:fill="EDEDED"/>
          </w:tcPr>
          <w:p w14:paraId="0310BC40" w14:textId="77777777" w:rsidR="00B9224C" w:rsidRDefault="00AD5B5B">
            <w:r>
              <w:rPr>
                <w:rFonts w:ascii="Calibri" w:eastAsia="Calibri" w:hAnsi="Calibri" w:cs="Calibri"/>
                <w:b/>
                <w:bCs/>
              </w:rPr>
              <w:t>Data</w:t>
            </w:r>
          </w:p>
        </w:tc>
        <w:tc>
          <w:tcPr>
            <w:tcW w:w="6500" w:type="dxa"/>
          </w:tcPr>
          <w:p w14:paraId="3412A7A9" w14:textId="71BFC77E" w:rsidR="00B9224C" w:rsidRDefault="006D5C7E">
            <w:r>
              <w:t>03/09/2026</w:t>
            </w:r>
          </w:p>
        </w:tc>
      </w:tr>
      <w:tr w:rsidR="00B9224C" w14:paraId="5AD55060" w14:textId="77777777">
        <w:tc>
          <w:tcPr>
            <w:tcW w:w="2500" w:type="dxa"/>
            <w:shd w:val="clear" w:color="auto" w:fill="EDEDED"/>
          </w:tcPr>
          <w:p w14:paraId="62A3C934" w14:textId="77777777" w:rsidR="00B9224C" w:rsidRDefault="00AD5B5B">
            <w:r>
              <w:rPr>
                <w:rFonts w:ascii="Calibri" w:eastAsia="Calibri" w:hAnsi="Calibri" w:cs="Calibri"/>
                <w:b/>
                <w:bCs/>
              </w:rPr>
              <w:t>Responsável pelo registro</w:t>
            </w:r>
          </w:p>
        </w:tc>
        <w:tc>
          <w:tcPr>
            <w:tcW w:w="6500" w:type="dxa"/>
          </w:tcPr>
          <w:p w14:paraId="406AC35B" w14:textId="20217318" w:rsidR="00B9224C" w:rsidRDefault="006D5C7E">
            <w:r>
              <w:t>Guilherme dos Anjos</w:t>
            </w:r>
          </w:p>
        </w:tc>
      </w:tr>
      <w:tr w:rsidR="00B9224C" w14:paraId="1972D591" w14:textId="77777777">
        <w:tc>
          <w:tcPr>
            <w:tcW w:w="2500" w:type="dxa"/>
            <w:shd w:val="clear" w:color="auto" w:fill="EDEDED"/>
          </w:tcPr>
          <w:p w14:paraId="4479564E" w14:textId="77777777" w:rsidR="00B9224C" w:rsidRDefault="00AD5B5B">
            <w:r>
              <w:rPr>
                <w:rFonts w:ascii="Calibri" w:eastAsia="Calibri" w:hAnsi="Calibri" w:cs="Calibri"/>
                <w:b/>
                <w:bCs/>
              </w:rPr>
              <w:t>Situação</w:t>
            </w:r>
          </w:p>
        </w:tc>
        <w:tc>
          <w:tcPr>
            <w:tcW w:w="6500" w:type="dxa"/>
          </w:tcPr>
          <w:p w14:paraId="7DF0C998" w14:textId="77777777" w:rsidR="00B9224C" w:rsidRDefault="00AD5B5B">
            <w:r>
              <w:rPr>
                <w:rFonts w:ascii="Calibri" w:eastAsia="Calibri" w:hAnsi="Calibri" w:cs="Calibri"/>
              </w:rPr>
              <w:t>Proposta</w:t>
            </w:r>
          </w:p>
        </w:tc>
      </w:tr>
    </w:tbl>
    <w:p w14:paraId="6577CD34" w14:textId="77777777" w:rsidR="00B9224C" w:rsidRDefault="00AD5B5B">
      <w:pPr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1. Contexto</w:t>
      </w:r>
    </w:p>
    <w:p w14:paraId="40082034" w14:textId="47B796EC" w:rsidR="00B9224C" w:rsidRDefault="00AD5B5B">
      <w:pPr>
        <w:spacing w:after="120"/>
      </w:pPr>
      <w:r>
        <w:rPr>
          <w:rFonts w:ascii="Calibri" w:eastAsia="Calibri" w:hAnsi="Calibri" w:cs="Calibri"/>
          <w:sz w:val="22"/>
          <w:szCs w:val="22"/>
        </w:rPr>
        <w:t>O desafio prevê o envio de lembrete de consulta por meio de notificação</w:t>
      </w:r>
      <w:r w:rsidR="006D5C7E"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z w:val="22"/>
          <w:szCs w:val="22"/>
        </w:rPr>
        <w:t>A API da clínica possui a informação sobre a data da consulta, mas não dispõe de mecanismo para entregar notificações no dispositivo do paciente, o que depende do sistema operacional e de um serviço externo especializado nesse tipo de comunicação.</w:t>
      </w:r>
    </w:p>
    <w:p w14:paraId="12C83C57" w14:textId="77777777" w:rsidR="00B9224C" w:rsidRDefault="00AD5B5B">
      <w:pPr>
        <w:spacing w:after="120"/>
      </w:pPr>
      <w:r>
        <w:rPr>
          <w:rFonts w:ascii="Calibri" w:eastAsia="Calibri" w:hAnsi="Calibri" w:cs="Calibri"/>
          <w:sz w:val="22"/>
          <w:szCs w:val="22"/>
        </w:rPr>
        <w:t>Sem esse serviço, o paciente somente teria conhecimento da consulta ao abrir o aplicativo, o que não atende à proposta de um lembrete proativo.</w:t>
      </w:r>
    </w:p>
    <w:p w14:paraId="26BF9A18" w14:textId="77777777" w:rsidR="00B9224C" w:rsidRDefault="00AD5B5B">
      <w:pPr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2. Opções consideradas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400"/>
        <w:gridCol w:w="3000"/>
        <w:gridCol w:w="2800"/>
      </w:tblGrid>
      <w:tr w:rsidR="00B9224C" w14:paraId="194C9D36" w14:textId="77777777">
        <w:tc>
          <w:tcPr>
            <w:tcW w:w="1800" w:type="dxa"/>
            <w:shd w:val="clear" w:color="auto" w:fill="D9D9D9"/>
          </w:tcPr>
          <w:p w14:paraId="1F873EF2" w14:textId="77777777" w:rsidR="00B9224C" w:rsidRDefault="00AD5B5B">
            <w:r>
              <w:rPr>
                <w:rFonts w:ascii="Calibri" w:eastAsia="Calibri" w:hAnsi="Calibri" w:cs="Calibri"/>
                <w:b/>
                <w:bCs/>
              </w:rPr>
              <w:t>Opção</w:t>
            </w:r>
          </w:p>
        </w:tc>
        <w:tc>
          <w:tcPr>
            <w:tcW w:w="1400" w:type="dxa"/>
            <w:shd w:val="clear" w:color="auto" w:fill="D9D9D9"/>
          </w:tcPr>
          <w:p w14:paraId="2286948B" w14:textId="77777777" w:rsidR="00B9224C" w:rsidRDefault="00AD5B5B">
            <w:r>
              <w:rPr>
                <w:rFonts w:ascii="Calibri" w:eastAsia="Calibri" w:hAnsi="Calibri" w:cs="Calibri"/>
                <w:b/>
                <w:bCs/>
              </w:rPr>
              <w:t>Exige chave?</w:t>
            </w:r>
          </w:p>
        </w:tc>
        <w:tc>
          <w:tcPr>
            <w:tcW w:w="3000" w:type="dxa"/>
            <w:shd w:val="clear" w:color="auto" w:fill="D9D9D9"/>
          </w:tcPr>
          <w:p w14:paraId="1FFD6F0A" w14:textId="77777777" w:rsidR="00B9224C" w:rsidRDefault="00AD5B5B">
            <w:r>
              <w:rPr>
                <w:rFonts w:ascii="Calibri" w:eastAsia="Calibri" w:hAnsi="Calibri" w:cs="Calibri"/>
                <w:b/>
                <w:bCs/>
              </w:rPr>
              <w:t>Cota gratuita / limites</w:t>
            </w:r>
          </w:p>
        </w:tc>
        <w:tc>
          <w:tcPr>
            <w:tcW w:w="2800" w:type="dxa"/>
            <w:shd w:val="clear" w:color="auto" w:fill="D9D9D9"/>
          </w:tcPr>
          <w:p w14:paraId="5899A49A" w14:textId="77777777" w:rsidR="00B9224C" w:rsidRDefault="00AD5B5B">
            <w:r>
              <w:rPr>
                <w:rFonts w:ascii="Calibri" w:eastAsia="Calibri" w:hAnsi="Calibri" w:cs="Calibri"/>
                <w:b/>
                <w:bCs/>
              </w:rPr>
              <w:t>Termos de uso relevantes</w:t>
            </w:r>
          </w:p>
        </w:tc>
      </w:tr>
      <w:tr w:rsidR="00B9224C" w14:paraId="3A515FD8" w14:textId="77777777">
        <w:tc>
          <w:tcPr>
            <w:tcW w:w="1800" w:type="dxa"/>
          </w:tcPr>
          <w:p w14:paraId="2B37DE5C" w14:textId="77777777" w:rsidR="00B9224C" w:rsidRDefault="00AD5B5B">
            <w:r>
              <w:rPr>
                <w:rFonts w:ascii="Calibri" w:eastAsia="Calibri" w:hAnsi="Calibri" w:cs="Calibri"/>
              </w:rPr>
              <w:t>Expo Push Service</w:t>
            </w:r>
          </w:p>
        </w:tc>
        <w:tc>
          <w:tcPr>
            <w:tcW w:w="1400" w:type="dxa"/>
          </w:tcPr>
          <w:p w14:paraId="195A3CAD" w14:textId="77777777" w:rsidR="00B9224C" w:rsidRDefault="00AD5B5B">
            <w:r>
              <w:rPr>
                <w:rFonts w:ascii="Calibri" w:eastAsia="Calibri" w:hAnsi="Calibri" w:cs="Calibri"/>
              </w:rPr>
              <w:t>Sim, token do dispositivo</w:t>
            </w:r>
          </w:p>
        </w:tc>
        <w:tc>
          <w:tcPr>
            <w:tcW w:w="3000" w:type="dxa"/>
          </w:tcPr>
          <w:p w14:paraId="35D676BD" w14:textId="77777777" w:rsidR="00B9224C" w:rsidRDefault="00AD5B5B">
            <w:r>
              <w:rPr>
                <w:rFonts w:ascii="Calibri" w:eastAsia="Calibri" w:hAnsi="Calibri" w:cs="Calibri"/>
              </w:rPr>
              <w:t>Gratuito, sem cobrança por notificação enviada</w:t>
            </w:r>
          </w:p>
        </w:tc>
        <w:tc>
          <w:tcPr>
            <w:tcW w:w="2800" w:type="dxa"/>
          </w:tcPr>
          <w:p w14:paraId="7F960BD8" w14:textId="77777777" w:rsidR="00B9224C" w:rsidRDefault="00AD5B5B">
            <w:r>
              <w:rPr>
                <w:rFonts w:ascii="Calibri" w:eastAsia="Calibri" w:hAnsi="Calibri" w:cs="Calibri"/>
              </w:rPr>
              <w:t>Exige development build; não funciona no Expo Go em dispositivos Android</w:t>
            </w:r>
          </w:p>
        </w:tc>
      </w:tr>
      <w:tr w:rsidR="00B9224C" w14:paraId="25FA7166" w14:textId="77777777">
        <w:tc>
          <w:tcPr>
            <w:tcW w:w="1800" w:type="dxa"/>
          </w:tcPr>
          <w:p w14:paraId="5ED6BD67" w14:textId="77777777" w:rsidR="00B9224C" w:rsidRDefault="00AD5B5B">
            <w:r>
              <w:rPr>
                <w:rFonts w:ascii="Calibri" w:eastAsia="Calibri" w:hAnsi="Calibri" w:cs="Calibri"/>
              </w:rPr>
              <w:t>Firebase Cloud Messaging direto</w:t>
            </w:r>
          </w:p>
        </w:tc>
        <w:tc>
          <w:tcPr>
            <w:tcW w:w="1400" w:type="dxa"/>
          </w:tcPr>
          <w:p w14:paraId="6F2D13BF" w14:textId="77777777" w:rsidR="00B9224C" w:rsidRDefault="00AD5B5B">
            <w:r>
              <w:rPr>
                <w:rFonts w:ascii="Calibri" w:eastAsia="Calibri" w:hAnsi="Calibri" w:cs="Calibri"/>
              </w:rPr>
              <w:t>Sim, chave de servidor do Firebase</w:t>
            </w:r>
          </w:p>
        </w:tc>
        <w:tc>
          <w:tcPr>
            <w:tcW w:w="3000" w:type="dxa"/>
          </w:tcPr>
          <w:p w14:paraId="2F5B85D7" w14:textId="77777777" w:rsidR="00B9224C" w:rsidRDefault="00AD5B5B">
            <w:r>
              <w:rPr>
                <w:rFonts w:ascii="Calibri" w:eastAsia="Calibri" w:hAnsi="Calibri" w:cs="Calibri"/>
              </w:rPr>
              <w:t>Gratuito, sem limite relevante para o uso previsto</w:t>
            </w:r>
          </w:p>
        </w:tc>
        <w:tc>
          <w:tcPr>
            <w:tcW w:w="2800" w:type="dxa"/>
          </w:tcPr>
          <w:p w14:paraId="652A61E5" w14:textId="77777777" w:rsidR="00B9224C" w:rsidRDefault="00AD5B5B">
            <w:r>
              <w:rPr>
                <w:rFonts w:ascii="Calibri" w:eastAsia="Calibri" w:hAnsi="Calibri" w:cs="Calibri"/>
              </w:rPr>
              <w:t>Configuração mais manual, sem uso do SDK do Expo</w:t>
            </w:r>
          </w:p>
        </w:tc>
      </w:tr>
      <w:tr w:rsidR="00B9224C" w14:paraId="01F2CFB8" w14:textId="77777777">
        <w:tc>
          <w:tcPr>
            <w:tcW w:w="1800" w:type="dxa"/>
          </w:tcPr>
          <w:p w14:paraId="13DD1C6A" w14:textId="77777777" w:rsidR="00B9224C" w:rsidRDefault="00AD5B5B">
            <w:r>
              <w:rPr>
                <w:rFonts w:ascii="Calibri" w:eastAsia="Calibri" w:hAnsi="Calibri" w:cs="Calibri"/>
              </w:rPr>
              <w:t>OneSignal</w:t>
            </w:r>
          </w:p>
        </w:tc>
        <w:tc>
          <w:tcPr>
            <w:tcW w:w="1400" w:type="dxa"/>
          </w:tcPr>
          <w:p w14:paraId="2497D77D" w14:textId="77777777" w:rsidR="00B9224C" w:rsidRDefault="00AD5B5B">
            <w:r>
              <w:rPr>
                <w:rFonts w:ascii="Calibri" w:eastAsia="Calibri" w:hAnsi="Calibri" w:cs="Calibri"/>
              </w:rPr>
              <w:t>Sim</w:t>
            </w:r>
          </w:p>
        </w:tc>
        <w:tc>
          <w:tcPr>
            <w:tcW w:w="3000" w:type="dxa"/>
          </w:tcPr>
          <w:p w14:paraId="7032AD19" w14:textId="77777777" w:rsidR="00B9224C" w:rsidRDefault="00AD5B5B">
            <w:r>
              <w:rPr>
                <w:rFonts w:ascii="Calibri" w:eastAsia="Calibri" w:hAnsi="Calibri" w:cs="Calibri"/>
              </w:rPr>
              <w:t>Gratuito até determinado volume de usuários por mês</w:t>
            </w:r>
          </w:p>
        </w:tc>
        <w:tc>
          <w:tcPr>
            <w:tcW w:w="2800" w:type="dxa"/>
          </w:tcPr>
          <w:p w14:paraId="63279E5A" w14:textId="77777777" w:rsidR="00B9224C" w:rsidRDefault="00AD5B5B">
            <w:r>
              <w:rPr>
                <w:rFonts w:ascii="Calibri" w:eastAsia="Calibri" w:hAnsi="Calibri" w:cs="Calibri"/>
              </w:rPr>
              <w:t>Termos de uso de terceiro; os dados trafegam pela plataforma do fornecedor</w:t>
            </w:r>
          </w:p>
        </w:tc>
      </w:tr>
    </w:tbl>
    <w:p w14:paraId="5B178455" w14:textId="77777777" w:rsidR="00B9224C" w:rsidRDefault="00AD5B5B">
      <w:pPr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3. Decisão</w:t>
      </w:r>
    </w:p>
    <w:p w14:paraId="303C9D74" w14:textId="77777777" w:rsidR="00B9224C" w:rsidRDefault="00AD5B5B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 squad optou pelo Expo Push Service, uma vez que o projeto já é desenvolvido em Expo e esse é o caminho recomendado pela própria stack, reduzindo a necessidade de integrações adicionais. O critério de maior peso foi a facilidade de integração e a qualidade da documentação disponível.</w:t>
      </w:r>
    </w:p>
    <w:p w14:paraId="20713D30" w14:textId="77777777" w:rsidR="00B9224C" w:rsidRDefault="00AD5B5B">
      <w:pPr>
        <w:spacing w:after="120"/>
      </w:pPr>
      <w:r>
        <w:rPr>
          <w:rFonts w:ascii="Calibri" w:eastAsia="Calibri" w:hAnsi="Calibri" w:cs="Calibri"/>
          <w:sz w:val="22"/>
          <w:szCs w:val="22"/>
        </w:rPr>
        <w:t>Está previsto que essa escolha exija a geração de um development build do projeto, isto é, o aplicativo deixa de ser executado no Expo Go padrão em dispositivos Android a partir dessa decisão.</w:t>
      </w:r>
    </w:p>
    <w:p w14:paraId="3345304E" w14:textId="77777777" w:rsidR="00B9224C" w:rsidRDefault="00AD5B5B">
      <w:pPr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4. Consequências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00"/>
      </w:tblGrid>
      <w:tr w:rsidR="00B9224C" w14:paraId="23171E3E" w14:textId="77777777">
        <w:tc>
          <w:tcPr>
            <w:tcW w:w="3500" w:type="dxa"/>
            <w:shd w:val="clear" w:color="auto" w:fill="EDEDED"/>
          </w:tcPr>
          <w:p w14:paraId="005B0053" w14:textId="77777777" w:rsidR="00B9224C" w:rsidRDefault="00AD5B5B">
            <w:r>
              <w:rPr>
                <w:rFonts w:ascii="Calibri" w:eastAsia="Calibri" w:hAnsi="Calibri" w:cs="Calibri"/>
                <w:b/>
                <w:bCs/>
              </w:rPr>
              <w:t>O que fica mais fácil com essa escolha?</w:t>
            </w:r>
          </w:p>
        </w:tc>
        <w:tc>
          <w:tcPr>
            <w:tcW w:w="5500" w:type="dxa"/>
          </w:tcPr>
          <w:p w14:paraId="3E28176A" w14:textId="77777777" w:rsidR="00B9224C" w:rsidRDefault="00AD5B5B">
            <w:r>
              <w:rPr>
                <w:rFonts w:ascii="Calibri" w:eastAsia="Calibri" w:hAnsi="Calibri" w:cs="Calibri"/>
              </w:rPr>
              <w:t>O envio de notificações passa a ser possível sem a necessidade de um servidor de push próprio, já que o Expo gerencia a entrega para os dois sistemas operacionais.</w:t>
            </w:r>
          </w:p>
        </w:tc>
      </w:tr>
      <w:tr w:rsidR="00B9224C" w14:paraId="5E757600" w14:textId="77777777">
        <w:tc>
          <w:tcPr>
            <w:tcW w:w="3500" w:type="dxa"/>
            <w:shd w:val="clear" w:color="auto" w:fill="EDEDED"/>
          </w:tcPr>
          <w:p w14:paraId="48F0057E" w14:textId="77777777" w:rsidR="00B9224C" w:rsidRDefault="00AD5B5B">
            <w:r>
              <w:rPr>
                <w:rFonts w:ascii="Calibri" w:eastAsia="Calibri" w:hAnsi="Calibri" w:cs="Calibri"/>
                <w:b/>
                <w:bCs/>
              </w:rPr>
              <w:t>O que fica mais arriscado ou mais caro?</w:t>
            </w:r>
          </w:p>
        </w:tc>
        <w:tc>
          <w:tcPr>
            <w:tcW w:w="5500" w:type="dxa"/>
          </w:tcPr>
          <w:p w14:paraId="3B0F8BDD" w14:textId="77777777" w:rsidR="00B9224C" w:rsidRDefault="00AD5B5B">
            <w:r>
              <w:rPr>
                <w:rFonts w:ascii="Calibri" w:eastAsia="Calibri" w:hAnsi="Calibri" w:cs="Calibri"/>
              </w:rPr>
              <w:t>A entrega passa a depender de um serviço externo: eventuais atrasos ou instabilidades no serviço afetam diretamente o lembrete. Além disso, o aplicativo deixa de ser executado no Expo Go padrão.</w:t>
            </w:r>
          </w:p>
        </w:tc>
      </w:tr>
      <w:tr w:rsidR="00B9224C" w14:paraId="7170DC2E" w14:textId="77777777">
        <w:tc>
          <w:tcPr>
            <w:tcW w:w="3500" w:type="dxa"/>
            <w:shd w:val="clear" w:color="auto" w:fill="EDEDED"/>
          </w:tcPr>
          <w:p w14:paraId="5B3CBA3C" w14:textId="77777777" w:rsidR="00B9224C" w:rsidRDefault="00AD5B5B">
            <w:r>
              <w:rPr>
                <w:rFonts w:ascii="Calibri" w:eastAsia="Calibri" w:hAnsi="Calibri" w:cs="Calibri"/>
                <w:b/>
                <w:bCs/>
              </w:rPr>
              <w:t>O que precisa ser providenciado antes (conta, chave, build)?</w:t>
            </w:r>
          </w:p>
        </w:tc>
        <w:tc>
          <w:tcPr>
            <w:tcW w:w="5500" w:type="dxa"/>
          </w:tcPr>
          <w:p w14:paraId="43C180A4" w14:textId="77777777" w:rsidR="00B9224C" w:rsidRDefault="00AD5B5B">
            <w:r>
              <w:rPr>
                <w:rFonts w:ascii="Calibri" w:eastAsia="Calibri" w:hAnsi="Calibri" w:cs="Calibri"/>
              </w:rPr>
              <w:t>Geração do development build do projeto (via EAS Build) e implementação da coleta do token de push por paciente.</w:t>
            </w:r>
          </w:p>
        </w:tc>
      </w:tr>
      <w:tr w:rsidR="00B9224C" w14:paraId="037E680F" w14:textId="77777777">
        <w:tc>
          <w:tcPr>
            <w:tcW w:w="3500" w:type="dxa"/>
            <w:shd w:val="clear" w:color="auto" w:fill="EDEDED"/>
          </w:tcPr>
          <w:p w14:paraId="11BBD14B" w14:textId="77777777" w:rsidR="00B9224C" w:rsidRDefault="00AD5B5B">
            <w:r>
              <w:rPr>
                <w:rFonts w:ascii="Calibri" w:eastAsia="Calibri" w:hAnsi="Calibri" w:cs="Calibri"/>
                <w:b/>
                <w:bCs/>
              </w:rPr>
              <w:t>Quem na squad fica responsável por essa providência?</w:t>
            </w:r>
          </w:p>
        </w:tc>
        <w:tc>
          <w:tcPr>
            <w:tcW w:w="5500" w:type="dxa"/>
          </w:tcPr>
          <w:p w14:paraId="6D58D208" w14:textId="5F5A20A5" w:rsidR="00B9224C" w:rsidRDefault="006D5C7E">
            <w:r>
              <w:t>Guilherme dos Anjos</w:t>
            </w:r>
          </w:p>
        </w:tc>
      </w:tr>
      <w:tr w:rsidR="00B9224C" w14:paraId="654057F3" w14:textId="77777777">
        <w:tc>
          <w:tcPr>
            <w:tcW w:w="3500" w:type="dxa"/>
            <w:shd w:val="clear" w:color="auto" w:fill="EDEDED"/>
          </w:tcPr>
          <w:p w14:paraId="236AB156" w14:textId="77777777" w:rsidR="00B9224C" w:rsidRDefault="00AD5B5B">
            <w:r>
              <w:rPr>
                <w:rFonts w:ascii="Calibri" w:eastAsia="Calibri" w:hAnsi="Calibri" w:cs="Calibri"/>
                <w:b/>
                <w:bCs/>
              </w:rPr>
              <w:lastRenderedPageBreak/>
              <w:t>Até quando ela precisa estar pronta?</w:t>
            </w:r>
          </w:p>
        </w:tc>
        <w:tc>
          <w:tcPr>
            <w:tcW w:w="5500" w:type="dxa"/>
          </w:tcPr>
          <w:p w14:paraId="4F21F853" w14:textId="57150E3A" w:rsidR="00B9224C" w:rsidRDefault="00AD5B5B">
            <w:r>
              <w:rPr>
                <w:rFonts w:ascii="Calibri" w:eastAsia="Calibri" w:hAnsi="Calibri" w:cs="Calibri"/>
              </w:rPr>
              <w:t>Até a Aula 9</w:t>
            </w:r>
            <w:r w:rsidR="008A22A6">
              <w:rPr>
                <w:rFonts w:ascii="Calibri" w:eastAsia="Calibri" w:hAnsi="Calibri" w:cs="Calibri"/>
              </w:rPr>
              <w:t>.</w:t>
            </w:r>
          </w:p>
        </w:tc>
      </w:tr>
    </w:tbl>
    <w:p w14:paraId="707AF046" w14:textId="77777777" w:rsidR="00B9224C" w:rsidRDefault="00AD5B5B">
      <w:pPr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5. Plano B</w:t>
      </w:r>
    </w:p>
    <w:p w14:paraId="376095F5" w14:textId="77777777" w:rsidR="00B9224C" w:rsidRDefault="00AD5B5B">
      <w:pPr>
        <w:spacing w:after="120"/>
      </w:pPr>
      <w:r>
        <w:rPr>
          <w:rFonts w:ascii="Calibri" w:eastAsia="Calibri" w:hAnsi="Calibri" w:cs="Calibri"/>
          <w:sz w:val="22"/>
          <w:szCs w:val="22"/>
        </w:rPr>
        <w:t>Enquanto o development build não estiver disponível, o lembrete é exibido dentro do próprio aplicativo, na lista de consultas, sem depender de notificação externa.</w:t>
      </w:r>
    </w:p>
    <w:p w14:paraId="0F659A78" w14:textId="77777777" w:rsidR="00B9224C" w:rsidRDefault="00AD5B5B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Caso o Expo Push Service apresente falhas recorrentes, a alternativa considerada é a migração para o Firebase Cloud Messaging direto, o que demanda maior esforço de configuração, porém elimina a dependência de uma camada intermediária.</w:t>
      </w:r>
    </w:p>
    <w:p w14:paraId="47E3A57D" w14:textId="77777777" w:rsidR="00B9224C" w:rsidRDefault="00AD5B5B">
      <w:pPr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6. Como saberemos que deu errado</w:t>
      </w:r>
    </w:p>
    <w:p w14:paraId="03509996" w14:textId="77777777" w:rsidR="00B9224C" w:rsidRDefault="00AD5B5B">
      <w:pPr>
        <w:spacing w:after="120"/>
      </w:pPr>
      <w:r>
        <w:rPr>
          <w:rFonts w:ascii="Calibri" w:eastAsia="Calibri" w:hAnsi="Calibri" w:cs="Calibri"/>
          <w:sz w:val="22"/>
          <w:szCs w:val="22"/>
        </w:rPr>
        <w:t>O token de push não é gerado, ou não é aceito pelo Expo Push Service.</w:t>
      </w:r>
    </w:p>
    <w:p w14:paraId="4620B58E" w14:textId="77777777" w:rsidR="00B9224C" w:rsidRDefault="00AD5B5B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 notificação é enviada, mas não é entregue no dispositivo de teste.</w:t>
      </w:r>
    </w:p>
    <w:p w14:paraId="6FE1ECEA" w14:textId="77777777" w:rsidR="00B9224C" w:rsidRDefault="00AD5B5B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Alteração na política do Expo que passe a exigir recurso não disponível atualmente (por exemplo, conta paga ou novo tipo de build).</w:t>
      </w:r>
    </w:p>
    <w:sectPr w:rsidR="00B9224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E2F42"/>
    <w:multiLevelType w:val="hybridMultilevel"/>
    <w:tmpl w:val="71FC5CF8"/>
    <w:lvl w:ilvl="0" w:tplc="21F079D2">
      <w:start w:val="1"/>
      <w:numFmt w:val="bullet"/>
      <w:lvlText w:val="●"/>
      <w:lvlJc w:val="left"/>
      <w:pPr>
        <w:ind w:left="720" w:hanging="360"/>
      </w:pPr>
    </w:lvl>
    <w:lvl w:ilvl="1" w:tplc="F206932C">
      <w:start w:val="1"/>
      <w:numFmt w:val="bullet"/>
      <w:lvlText w:val="○"/>
      <w:lvlJc w:val="left"/>
      <w:pPr>
        <w:ind w:left="1440" w:hanging="360"/>
      </w:pPr>
    </w:lvl>
    <w:lvl w:ilvl="2" w:tplc="85AEC670">
      <w:start w:val="1"/>
      <w:numFmt w:val="bullet"/>
      <w:lvlText w:val="■"/>
      <w:lvlJc w:val="left"/>
      <w:pPr>
        <w:ind w:left="2160" w:hanging="360"/>
      </w:pPr>
    </w:lvl>
    <w:lvl w:ilvl="3" w:tplc="733A114A">
      <w:start w:val="1"/>
      <w:numFmt w:val="bullet"/>
      <w:lvlText w:val="●"/>
      <w:lvlJc w:val="left"/>
      <w:pPr>
        <w:ind w:left="2880" w:hanging="360"/>
      </w:pPr>
    </w:lvl>
    <w:lvl w:ilvl="4" w:tplc="B01E1D40">
      <w:start w:val="1"/>
      <w:numFmt w:val="bullet"/>
      <w:lvlText w:val="○"/>
      <w:lvlJc w:val="left"/>
      <w:pPr>
        <w:ind w:left="3600" w:hanging="360"/>
      </w:pPr>
    </w:lvl>
    <w:lvl w:ilvl="5" w:tplc="7BA608D4">
      <w:start w:val="1"/>
      <w:numFmt w:val="bullet"/>
      <w:lvlText w:val="■"/>
      <w:lvlJc w:val="left"/>
      <w:pPr>
        <w:ind w:left="4320" w:hanging="360"/>
      </w:pPr>
    </w:lvl>
    <w:lvl w:ilvl="6" w:tplc="2B920444">
      <w:start w:val="1"/>
      <w:numFmt w:val="bullet"/>
      <w:lvlText w:val="●"/>
      <w:lvlJc w:val="left"/>
      <w:pPr>
        <w:ind w:left="5040" w:hanging="360"/>
      </w:pPr>
    </w:lvl>
    <w:lvl w:ilvl="7" w:tplc="FF38D438">
      <w:start w:val="1"/>
      <w:numFmt w:val="bullet"/>
      <w:lvlText w:val="●"/>
      <w:lvlJc w:val="left"/>
      <w:pPr>
        <w:ind w:left="5760" w:hanging="360"/>
      </w:pPr>
    </w:lvl>
    <w:lvl w:ilvl="8" w:tplc="19B81CF4">
      <w:start w:val="1"/>
      <w:numFmt w:val="bullet"/>
      <w:lvlText w:val="●"/>
      <w:lvlJc w:val="left"/>
      <w:pPr>
        <w:ind w:left="6480" w:hanging="360"/>
      </w:pPr>
    </w:lvl>
  </w:abstractNum>
  <w:num w:numId="1" w16cid:durableId="4150604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24C"/>
    <w:rsid w:val="003D7A77"/>
    <w:rsid w:val="003E72B6"/>
    <w:rsid w:val="006D5C7E"/>
    <w:rsid w:val="008A22A6"/>
    <w:rsid w:val="00AD5B5B"/>
    <w:rsid w:val="00B9224C"/>
    <w:rsid w:val="00F82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8647D"/>
  <w15:docId w15:val="{D40B7C68-70FD-4954-A686-A767871B8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511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GUILHERME SOARES DA SILVA</cp:lastModifiedBy>
  <cp:revision>2</cp:revision>
  <dcterms:created xsi:type="dcterms:W3CDTF">2026-09-04T01:52:00Z</dcterms:created>
  <dcterms:modified xsi:type="dcterms:W3CDTF">2026-09-04T01:52:00Z</dcterms:modified>
</cp:coreProperties>
</file>