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21DB49" w14:textId="77777777" w:rsidR="00CC7F79" w:rsidRPr="00CC7F79" w:rsidRDefault="00CC7F79" w:rsidP="00CC7F7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C7F79">
        <w:rPr>
          <w:rFonts w:ascii="Times New Roman" w:eastAsia="Times New Roman" w:hAnsi="Times New Roman" w:cs="Times New Roman"/>
          <w:b/>
          <w:bCs/>
          <w:color w:val="000000"/>
          <w:kern w:val="36"/>
          <w:sz w:val="48"/>
          <w:szCs w:val="48"/>
          <w14:ligatures w14:val="none"/>
        </w:rPr>
        <w:t>Capítulo 2 — Biomecânica da Coluna Vertebral</w:t>
      </w:r>
    </w:p>
    <w:p w14:paraId="2DE62D4D"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Identificação</w:t>
      </w:r>
    </w:p>
    <w:p w14:paraId="7264BC23" w14:textId="0C69F7D0"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b/>
          <w:bCs/>
          <w:color w:val="000000"/>
          <w:kern w:val="0"/>
          <w14:ligatures w14:val="none"/>
        </w:rPr>
        <w:t>Seção do Tratado:</w:t>
      </w:r>
      <w:r w:rsidRPr="00CC7F79">
        <w:rPr>
          <w:rFonts w:ascii="Times New Roman" w:eastAsia="Times New Roman" w:hAnsi="Times New Roman" w:cs="Times New Roman"/>
          <w:color w:val="000000"/>
          <w:kern w:val="0"/>
          <w14:ligatures w14:val="none"/>
        </w:rPr>
        <w:t> Seção 1 — Conceitos Básicos</w:t>
      </w:r>
    </w:p>
    <w:p w14:paraId="1D9278C9"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b/>
          <w:bCs/>
          <w:color w:val="000000"/>
          <w:kern w:val="0"/>
          <w14:ligatures w14:val="none"/>
        </w:rPr>
        <w:t>Autor:</w:t>
      </w:r>
      <w:r w:rsidRPr="00CC7F79">
        <w:rPr>
          <w:rFonts w:ascii="Times New Roman" w:eastAsia="Times New Roman" w:hAnsi="Times New Roman" w:cs="Times New Roman"/>
          <w:color w:val="000000"/>
          <w:kern w:val="0"/>
          <w14:ligatures w14:val="none"/>
        </w:rPr>
        <w:t> Marcos Antônio Tebet</w:t>
      </w:r>
    </w:p>
    <w:p w14:paraId="17308A6B"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b/>
          <w:bCs/>
          <w:color w:val="000000"/>
          <w:kern w:val="0"/>
          <w14:ligatures w14:val="none"/>
        </w:rPr>
        <w:t>Nota de acesso</w:t>
      </w:r>
      <w:r w:rsidRPr="00CC7F79">
        <w:rPr>
          <w:rFonts w:ascii="Times New Roman" w:eastAsia="Times New Roman" w:hAnsi="Times New Roman" w:cs="Times New Roman"/>
          <w:color w:val="000000"/>
          <w:kern w:val="0"/>
          <w14:ligatures w14:val="none"/>
        </w:rPr>
        <w:br/>
        <w:t>Esta página apresenta uma síntese editorial do capítulo. O conteúdo integral está disponível na edição impressa do </w:t>
      </w:r>
      <w:r w:rsidRPr="00CC7F79">
        <w:rPr>
          <w:rFonts w:ascii="Times New Roman" w:eastAsia="Times New Roman" w:hAnsi="Times New Roman" w:cs="Times New Roman"/>
          <w:i/>
          <w:iCs/>
          <w:color w:val="000000"/>
          <w:kern w:val="0"/>
          <w14:ligatures w14:val="none"/>
        </w:rPr>
        <w:t>Tratado de Cirurgia da Coluna</w:t>
      </w:r>
      <w:r w:rsidRPr="00CC7F79">
        <w:rPr>
          <w:rFonts w:ascii="Times New Roman" w:eastAsia="Times New Roman" w:hAnsi="Times New Roman" w:cs="Times New Roman"/>
          <w:color w:val="000000"/>
          <w:kern w:val="0"/>
          <w14:ligatures w14:val="none"/>
        </w:rPr>
        <w:t>.</w:t>
      </w:r>
    </w:p>
    <w:p w14:paraId="3C3AE4B7"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6FDF236E">
          <v:rect id="Horizontal Line 1"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A652303"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Contexto</w:t>
      </w:r>
    </w:p>
    <w:p w14:paraId="54FCFE75"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 coluna vertebral precisa conciliar exigências aparentemente opostas: sustentar cargas, permitir movimentos, preservar a estabilidade postural e proteger as estruturas neurológicas. Essa combinação é viabilizada por uma arquitetura segmentar na qual corpos vertebrais, discos intervertebrais, articulações zigapofisárias, ligamentos e músculos atuam de maneira integrada. As curvas fisiológicas ampliam a flexibilidade e a capacidade de absorção de impactos, enquanto a orientação regional das facetas condiciona os padrões de movimento cervical, torácico e lombar. No centro desse sistema, o disco intervertebral distribui pressões e responde a forças de compressão, tração, cisalhamento e torção. Com o envelhecimento e a desidratação do núcleo pulposo, essa distribuição se modifica, transferindo maior sobrecarga ao ânulo fibroso e às articulações posteriores. Compreender essas relações é essencial para interpretar degeneração, instabilidade, hérnia discal e estenose, além de orientar o planejamento de procedimentos que alteram a mecânica do segmento tratado.</w:t>
      </w:r>
    </w:p>
    <w:p w14:paraId="08BABC94"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4C568643">
          <v:rect id="Horizontal Line 2"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EE126B8"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Objetivo do capítulo</w:t>
      </w:r>
    </w:p>
    <w:p w14:paraId="1E976073"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Apresentar os princípios fundamentais da biomecânica da coluna vertebral, relacionando arquitetura segmentar, curvaturas fisiológicas, orientação facetária, comportamento do disco intervertebral e cinemática tridimensional. O capítulo busca capacitar o leitor a interpretar os efeitos da compressão, do cisalhamento, da tração e da torção; reconhecer a participação das alterações biomecânicas na degeneração e na instabilidade; e aplicar esses conceitos à avaliação clínica, aos exames dinâmicos e ao planejamento cirúrgico.</w:t>
      </w:r>
    </w:p>
    <w:p w14:paraId="305BDC24"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4C1055FD">
          <v:rect id="Horizontal Line 3"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F192C0A" w14:textId="77777777" w:rsidR="00CC7F79" w:rsidRPr="00CC7F79" w:rsidRDefault="00CC7F79" w:rsidP="00CC7F7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C7F79">
        <w:rPr>
          <w:rFonts w:ascii="Times New Roman" w:eastAsia="Times New Roman" w:hAnsi="Times New Roman" w:cs="Times New Roman"/>
          <w:b/>
          <w:bCs/>
          <w:color w:val="000000"/>
          <w:kern w:val="36"/>
          <w:sz w:val="48"/>
          <w:szCs w:val="48"/>
          <w14:ligatures w14:val="none"/>
        </w:rPr>
        <w:lastRenderedPageBreak/>
        <w:t>Conteúdo principal</w:t>
      </w:r>
    </w:p>
    <w:p w14:paraId="13BB691B"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Arquitetura segmentar e funções biomecânicas</w:t>
      </w:r>
    </w:p>
    <w:p w14:paraId="17BBF2C0"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 coluna é apresentada como uma estrutura segmentar articulada, formada por unidades funcionais que operam em série. Essa organização permite combinar rigidez suficiente para suportar cargas e proteger a medula espinhal com mobilidade para os movimentos do tronco e da cabeça. O capítulo destaca a absorção de carga axial, a mobilidade segmentar, a proteção neurológica e a estabilidade postural como funções biomecânicas centrais.</w:t>
      </w:r>
    </w:p>
    <w:p w14:paraId="205C5D3C"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As curvaturas fisiológicas — lordoses cervical e lombar e cifoses torácica e sacral — contribuem para a distribuição das cargas e a absorção de impactos. A anatomia das articulações zigapofisárias também condiciona a mobilidade regional. A tabela apresentada no capítulo registra diferentes angulações nos planos sagital e axial para as regiões cervical, torácica e lombar, refletindo a diversidade de movimentos ao longo da coluna.</w:t>
      </w:r>
    </w:p>
    <w:p w14:paraId="12718417"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Na região cervical média e inferior, a orientação facetária favorece a associação entre inclinação lateral e rotação axial. A integração da coluna torácica à caixa torácica limita sua flexibilidade. Na região lombar, a disposição predominantemente sagital das facetas favorece a flexoextensão e restringe a rotação axial.</w:t>
      </w:r>
    </w:p>
    <w:p w14:paraId="27E53029"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Disco intervertebral e distribuição de cargas</w:t>
      </w:r>
    </w:p>
    <w:p w14:paraId="1E756B84"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O disco intervertebral ocupa posição central na absorção de cargas, na distribuição das pressões e na facilitação dos movimentos entre corpos vertebrais adjacentes. Nos indivíduos jovens, o núcleo pulposo possui elevado grau de hidratação e comporta-se como uma massa gelatinosa pressurizável. Sob compressão, a pressão é distribuída em direção centrífuga, permitindo que o conjunto formado pelo núcleo e pelo ânulo fibroso transmita cargas entre os corpos vertebrais.</w:t>
      </w:r>
    </w:p>
    <w:p w14:paraId="19AA5988"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Com a desidratação relacionada ao processo degenerativo, o núcleo perde parte de sua capacidade de distribuir uniformemente a pressão. O capítulo relaciona essa alteração ao aumento da sobrecarga sobre o ânulo fibroso, à maior suscetibilidade a falhas estruturais e ao aparecimento de manifestações como hérnia discal, instabilidade e dor discogênica.</w:t>
      </w:r>
    </w:p>
    <w:p w14:paraId="37398130"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Além da compressão, o disco está exposto a forças de tração, cisalhamento e torção. A intensidade e a direção dessas forças variam conforme a postura, o movimento realizado e o eixo ao redor do qual ele ocorre. A torção axial provoca tensão sobre as fibras do ânulo e é destacada como um mecanismo relevante de lesão, especialmente quando associada a sobrecargas repetitivas.</w:t>
      </w:r>
    </w:p>
    <w:p w14:paraId="341DCC8E"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Cinemática tridimensional</w:t>
      </w:r>
    </w:p>
    <w:p w14:paraId="763D2D50"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 xml:space="preserve">A cinemática descreve os movimentos vertebrais por meio de rotações e translações em um sistema tridimensional de coordenadas. No modelo apresentado no capítulo, o eixo X </w:t>
      </w:r>
      <w:r w:rsidRPr="00CC7F79">
        <w:rPr>
          <w:rFonts w:ascii="Times New Roman" w:eastAsia="Times New Roman" w:hAnsi="Times New Roman" w:cs="Times New Roman"/>
          <w:color w:val="000000"/>
          <w:kern w:val="0"/>
          <w14:ligatures w14:val="none"/>
        </w:rPr>
        <w:lastRenderedPageBreak/>
        <w:t>corresponde à direção médio-lateral, o eixo Y à direção craniocaudal e o eixo Z à direção anteroposterior. A combinação de deslocamentos e rotações ao redor desses eixos permite descrever flexoextensão, inclinação lateral e rotação axial.</w:t>
      </w:r>
    </w:p>
    <w:p w14:paraId="24004C14"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 magnitude e a direção dos movimentos intervertebrais dependem principalmente da orientação anatômica das facetas. Por isso, cada região apresenta um padrão cinemático próprio: maior mobilidade rotacional na coluna cervical, maior restrição na região torácica e predomínio da flexoextensão na coluna lombar.</w:t>
      </w:r>
    </w:p>
    <w:p w14:paraId="3A73520A"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Outro conceito central é o eixo instantâneo de rotação (EIR), definido como o ponto ao redor do qual um segmento vertebral gira em determinado instante. Sua posição pode variar durante o movimento. O capítulo relaciona alterações do EIR a processos degenerativos e à instabilidade segmentar, atribuindo-lhe importância na avaliação funcional e no planejamento do tratamento.</w:t>
      </w:r>
    </w:p>
    <w:p w14:paraId="751F1B01"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Degeneração, instabilidade e compressão neural</w:t>
      </w:r>
    </w:p>
    <w:p w14:paraId="455BD93E"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O capítulo apresenta uma sequência biomecânica que começa com a desidratação do núcleo pulposo e a redução da eficiência na distribuição das cargas. A transferência de tensões para o ânulo e para as articulações posteriores pode acompanhar colapso discal, sobrecarga facetária, instabilidade, listese e estenose.</w:t>
      </w:r>
    </w:p>
    <w:p w14:paraId="6FA9FE4E"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 hérnia discal é relacionada à associação entre falência do ânulo, carga compressiva assimétrica, movimentos de flexão com rotação, degeneração do núcleo pulposo e instabilidade segmentar. A instabilidade pode manifestar-se como hipermobilidade, espondilolistese ou mobilidade paradoxal em exames dinâmicos. A estenose é apresentada como resultado da combinação entre colapso discal, hipertrofia ligamentar e artrose facetária, com progressiva redução do espaço disponível para as estruturas neurais.</w:t>
      </w:r>
    </w:p>
    <w:p w14:paraId="678DEDEB"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Repercussões do tratamento cirúrgico</w:t>
      </w:r>
    </w:p>
    <w:p w14:paraId="4AED4CAD"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Toda intervenção cirúrgica modifica a distribuição de cargas e o padrão de movimento do segmento operado. O capítulo destaca que a escolha da via anterior, lateral ou posterior, do tipo de instrumentação e do implante empregado produz consequências biomecânicas distintas.</w:t>
      </w:r>
    </w:p>
    <w:p w14:paraId="0CA36FCD"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O planejamento deve considerar o EIR, a orientação facetária, a altura discal, a lordose segmentar e o equilíbrio global. O posicionamento adequado do espaçador intersomático, ou </w:t>
      </w:r>
      <w:r w:rsidRPr="00CC7F79">
        <w:rPr>
          <w:rFonts w:ascii="Times New Roman" w:eastAsia="Times New Roman" w:hAnsi="Times New Roman" w:cs="Times New Roman"/>
          <w:i/>
          <w:iCs/>
          <w:color w:val="000000"/>
          <w:kern w:val="0"/>
          <w14:ligatures w14:val="none"/>
        </w:rPr>
        <w:t>cage</w:t>
      </w:r>
      <w:r w:rsidRPr="00CC7F79">
        <w:rPr>
          <w:rFonts w:ascii="Times New Roman" w:eastAsia="Times New Roman" w:hAnsi="Times New Roman" w:cs="Times New Roman"/>
          <w:color w:val="000000"/>
          <w:kern w:val="0"/>
          <w14:ligatures w14:val="none"/>
        </w:rPr>
        <w:t>, é relacionado ao restabelecimento da altura discal e do centro de rotação. A falha em restaurar a lordose fisiológica ou em respeitar a mecânica do segmento é associada no capítulo a pseudartrose, falha do implante e doença do nível adjacente.</w:t>
      </w:r>
    </w:p>
    <w:p w14:paraId="7504D4F9"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As estratégias de preservação do movimento, incluindo próteses discais e dispositivos interespinhosos, devem considerar o padrão cinemático e a orientação das facetas. O capítulo também enfatiza que a correção de deformidades não deve ser realizada sem considerar o equilíbrio sagital global e as compensações relacionadas ao alinhamento pélvico.</w:t>
      </w:r>
    </w:p>
    <w:p w14:paraId="556B5BED"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00378D8F">
          <v:rect id="Horizontal Line 4"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B27C86"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Aplicação clínica</w:t>
      </w:r>
    </w:p>
    <w:p w14:paraId="645FE9F5"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Os conceitos biomecânicos auxiliam a distinguir uma alteração anatômica estática de uma disfunção que se manifesta durante o movimento. Em pacientes com suspeita de instabilidade, o capítulo recomenda avaliar a mobilidade por exames dinâmicos, buscando hipermobilidade segmentar, mobilidade paradoxal ou progressão da listese. Os achados devem ser interpretados em conjunto com sintomas como dor axial e com sinais de colapso discal ou sobrecarga facetária.</w:t>
      </w:r>
    </w:p>
    <w:p w14:paraId="4E9F4E92"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No planejamento cirúrgico, a análise deve abranger o segmento e o alinhamento global. A orientação das facetas, a altura discal, o eixo instantâneo de rotação, a lordose segmentar, a lordose lombar global e o equilíbrio sagital influenciam a seleção da via, da instrumentação e do implante. Nos procedimentos intersomáticos, o posicionamento do </w:t>
      </w:r>
      <w:r w:rsidRPr="00CC7F79">
        <w:rPr>
          <w:rFonts w:ascii="Times New Roman" w:eastAsia="Times New Roman" w:hAnsi="Times New Roman" w:cs="Times New Roman"/>
          <w:i/>
          <w:iCs/>
          <w:color w:val="000000"/>
          <w:kern w:val="0"/>
          <w14:ligatures w14:val="none"/>
        </w:rPr>
        <w:t>cage</w:t>
      </w:r>
      <w:r w:rsidRPr="00CC7F79">
        <w:rPr>
          <w:rFonts w:ascii="Times New Roman" w:eastAsia="Times New Roman" w:hAnsi="Times New Roman" w:cs="Times New Roman"/>
          <w:color w:val="000000"/>
          <w:kern w:val="0"/>
          <w14:ligatures w14:val="none"/>
        </w:rPr>
        <w:t> deve contribuir para restabelecer altura e mecânica segmentar. Nas técnicas de preservação do movimento, a cinemática pré-existente não deve ser ignorada.</w:t>
      </w:r>
    </w:p>
    <w:p w14:paraId="50960676"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Entre as principais situações de cautela estão a avaliação exclusiva por exames estáticos, a correção de deformidades sem análise do equilíbrio global, o mau posicionamento da instrumentação e a implantação de dispositivos sem considerar a estabilidade e o padrão de movimento do nível tratado. O arquivo não apresenta limiares radiográficos quantitativos, algoritmos de indicação ou comparações entre técnicas; portanto, os elementos descritos devem ser compreendidos como princípios biomecânicos de avaliação e planejamento, e não como critérios isolados de indicação cirúrgica.</w:t>
      </w:r>
    </w:p>
    <w:p w14:paraId="2682CB63"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15631C7A">
          <v:rect id="Horizontal Line 5"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2C16BBC"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Mensagem central</w:t>
      </w:r>
    </w:p>
    <w:p w14:paraId="514ECBCF"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 biomecânica da coluna resulta da integração entre curvas fisiológicas, discos intervertebrais, facetas, ligamentos, músculos e padrões tridimensionais de movimento. A hidratação do núcleo pulposo, a orientação facetária e o eixo instantâneo de rotação condicionam a distribuição das cargas e a estabilidade segmentar. Na prática clínica e cirúrgica, tratar a anatomia sem considerar movimento, alinhamento e equilíbrio global pode perpetuar sobrecargas e contribuir para falhas mecânicas.</w:t>
      </w:r>
    </w:p>
    <w:p w14:paraId="56EDAD1A"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4738002A">
          <v:rect id="Horizontal Line 6"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716944F"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Por que este capítulo importa</w:t>
      </w:r>
    </w:p>
    <w:p w14:paraId="3844A10C"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 xml:space="preserve">Toda intervenção na coluna — da orientação conservadora à instrumentação cirúrgica — modifica ou procura controlar forças mecânicas. Conhecer como o disco distribui pressão, como as facetas orientam o movimento e como o eixo instantâneo de rotação se altera permite interpretar melhor a instabilidade e antecipar as consequências de uma correção. O capítulo </w:t>
      </w:r>
      <w:r w:rsidRPr="00CC7F79">
        <w:rPr>
          <w:rFonts w:ascii="Times New Roman" w:eastAsia="Times New Roman" w:hAnsi="Times New Roman" w:cs="Times New Roman"/>
          <w:color w:val="000000"/>
          <w:kern w:val="0"/>
          <w14:ligatures w14:val="none"/>
        </w:rPr>
        <w:lastRenderedPageBreak/>
        <w:t>também mostra por que exames estáticos podem ser insuficientes e por que restaurar apenas a anatomia local, sem considerar lordose, equilíbrio sagital e compensações pélvicas, pode não restabelecer uma mecânica adequada.</w:t>
      </w:r>
    </w:p>
    <w:p w14:paraId="3BE31710"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3D551803">
          <v:rect id="Horizontal Line 7"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1F88227"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Palavras-chave e descritores</w:t>
      </w:r>
    </w:p>
    <w:p w14:paraId="05A5D4A2" w14:textId="77777777" w:rsidR="00CC7F79" w:rsidRPr="00CC7F79" w:rsidRDefault="00CC7F79" w:rsidP="00CC7F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F79">
        <w:rPr>
          <w:rFonts w:ascii="Times New Roman" w:eastAsia="Times New Roman" w:hAnsi="Times New Roman" w:cs="Times New Roman"/>
          <w:b/>
          <w:bCs/>
          <w:color w:val="000000"/>
          <w:kern w:val="0"/>
          <w:sz w:val="27"/>
          <w:szCs w:val="27"/>
          <w14:ligatures w14:val="none"/>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4"/>
        <w:gridCol w:w="3234"/>
      </w:tblGrid>
      <w:tr w:rsidR="00CC7F79" w:rsidRPr="00CC7F79" w14:paraId="2B70A861" w14:textId="77777777">
        <w:trPr>
          <w:tblHeader/>
          <w:tblCellSpacing w:w="15" w:type="dxa"/>
        </w:trPr>
        <w:tc>
          <w:tcPr>
            <w:tcW w:w="0" w:type="auto"/>
            <w:vAlign w:val="center"/>
            <w:hideMark/>
          </w:tcPr>
          <w:p w14:paraId="45DB02BF" w14:textId="77777777" w:rsidR="00CC7F79" w:rsidRPr="00CC7F79" w:rsidRDefault="00CC7F79" w:rsidP="00CC7F79">
            <w:pPr>
              <w:spacing w:after="0" w:line="240" w:lineRule="auto"/>
              <w:jc w:val="center"/>
              <w:rPr>
                <w:rFonts w:ascii="Times New Roman" w:eastAsia="Times New Roman" w:hAnsi="Times New Roman" w:cs="Times New Roman"/>
                <w:b/>
                <w:bCs/>
                <w:color w:val="000000"/>
                <w:kern w:val="0"/>
                <w14:ligatures w14:val="none"/>
              </w:rPr>
            </w:pPr>
            <w:r w:rsidRPr="00CC7F79">
              <w:rPr>
                <w:rFonts w:ascii="Times New Roman" w:eastAsia="Times New Roman" w:hAnsi="Times New Roman" w:cs="Times New Roman"/>
                <w:b/>
                <w:bCs/>
                <w:color w:val="000000"/>
                <w:kern w:val="0"/>
                <w14:ligatures w14:val="none"/>
              </w:rPr>
              <w:t>DeCS — português</w:t>
            </w:r>
          </w:p>
        </w:tc>
        <w:tc>
          <w:tcPr>
            <w:tcW w:w="0" w:type="auto"/>
            <w:vAlign w:val="center"/>
            <w:hideMark/>
          </w:tcPr>
          <w:p w14:paraId="7E05468E" w14:textId="77777777" w:rsidR="00CC7F79" w:rsidRPr="00CC7F79" w:rsidRDefault="00CC7F79" w:rsidP="00CC7F79">
            <w:pPr>
              <w:spacing w:after="0" w:line="240" w:lineRule="auto"/>
              <w:jc w:val="center"/>
              <w:rPr>
                <w:rFonts w:ascii="Times New Roman" w:eastAsia="Times New Roman" w:hAnsi="Times New Roman" w:cs="Times New Roman"/>
                <w:b/>
                <w:bCs/>
                <w:color w:val="000000"/>
                <w:kern w:val="0"/>
                <w14:ligatures w14:val="none"/>
              </w:rPr>
            </w:pPr>
            <w:r w:rsidRPr="00CC7F79">
              <w:rPr>
                <w:rFonts w:ascii="Times New Roman" w:eastAsia="Times New Roman" w:hAnsi="Times New Roman" w:cs="Times New Roman"/>
                <w:b/>
                <w:bCs/>
                <w:color w:val="000000"/>
                <w:kern w:val="0"/>
                <w14:ligatures w14:val="none"/>
              </w:rPr>
              <w:t>MeSH — inglês</w:t>
            </w:r>
          </w:p>
        </w:tc>
      </w:tr>
      <w:tr w:rsidR="00CC7F79" w:rsidRPr="00CC7F79" w14:paraId="3C888440" w14:textId="77777777">
        <w:trPr>
          <w:tblCellSpacing w:w="15" w:type="dxa"/>
        </w:trPr>
        <w:tc>
          <w:tcPr>
            <w:tcW w:w="0" w:type="auto"/>
            <w:vAlign w:val="center"/>
            <w:hideMark/>
          </w:tcPr>
          <w:p w14:paraId="1BF84F35"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Fenômenos Biomecânicos</w:t>
            </w:r>
          </w:p>
        </w:tc>
        <w:tc>
          <w:tcPr>
            <w:tcW w:w="0" w:type="auto"/>
            <w:vAlign w:val="center"/>
            <w:hideMark/>
          </w:tcPr>
          <w:p w14:paraId="2003600D"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Biomechanical Phenomena</w:t>
            </w:r>
          </w:p>
        </w:tc>
      </w:tr>
      <w:tr w:rsidR="00CC7F79" w:rsidRPr="00CC7F79" w14:paraId="57F88D53" w14:textId="77777777">
        <w:trPr>
          <w:tblCellSpacing w:w="15" w:type="dxa"/>
        </w:trPr>
        <w:tc>
          <w:tcPr>
            <w:tcW w:w="0" w:type="auto"/>
            <w:vAlign w:val="center"/>
            <w:hideMark/>
          </w:tcPr>
          <w:p w14:paraId="5C46678F"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Coluna Vertebral</w:t>
            </w:r>
          </w:p>
        </w:tc>
        <w:tc>
          <w:tcPr>
            <w:tcW w:w="0" w:type="auto"/>
            <w:vAlign w:val="center"/>
            <w:hideMark/>
          </w:tcPr>
          <w:p w14:paraId="13FFD0C3"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Spine</w:t>
            </w:r>
          </w:p>
        </w:tc>
      </w:tr>
      <w:tr w:rsidR="00CC7F79" w:rsidRPr="00CC7F79" w14:paraId="5E950F35" w14:textId="77777777">
        <w:trPr>
          <w:tblCellSpacing w:w="15" w:type="dxa"/>
        </w:trPr>
        <w:tc>
          <w:tcPr>
            <w:tcW w:w="0" w:type="auto"/>
            <w:vAlign w:val="center"/>
            <w:hideMark/>
          </w:tcPr>
          <w:p w14:paraId="755283BD"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Disco Intervertebral</w:t>
            </w:r>
          </w:p>
        </w:tc>
        <w:tc>
          <w:tcPr>
            <w:tcW w:w="0" w:type="auto"/>
            <w:vAlign w:val="center"/>
            <w:hideMark/>
          </w:tcPr>
          <w:p w14:paraId="7994DAA6"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Intervertebral Disc</w:t>
            </w:r>
          </w:p>
        </w:tc>
      </w:tr>
      <w:tr w:rsidR="00CC7F79" w:rsidRPr="00CC7F79" w14:paraId="5BDAC91B" w14:textId="77777777">
        <w:trPr>
          <w:tblCellSpacing w:w="15" w:type="dxa"/>
        </w:trPr>
        <w:tc>
          <w:tcPr>
            <w:tcW w:w="0" w:type="auto"/>
            <w:vAlign w:val="center"/>
            <w:hideMark/>
          </w:tcPr>
          <w:p w14:paraId="17755CAB"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Degeneração do Disco Intervertebral</w:t>
            </w:r>
          </w:p>
        </w:tc>
        <w:tc>
          <w:tcPr>
            <w:tcW w:w="0" w:type="auto"/>
            <w:vAlign w:val="center"/>
            <w:hideMark/>
          </w:tcPr>
          <w:p w14:paraId="0C70BBA1"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Intervertebral Disc Degeneration</w:t>
            </w:r>
          </w:p>
        </w:tc>
      </w:tr>
      <w:tr w:rsidR="00CC7F79" w:rsidRPr="00CC7F79" w14:paraId="5DCAB320" w14:textId="77777777">
        <w:trPr>
          <w:tblCellSpacing w:w="15" w:type="dxa"/>
        </w:trPr>
        <w:tc>
          <w:tcPr>
            <w:tcW w:w="0" w:type="auto"/>
            <w:vAlign w:val="center"/>
            <w:hideMark/>
          </w:tcPr>
          <w:p w14:paraId="736204CB"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Articulação Zigapofisária</w:t>
            </w:r>
          </w:p>
        </w:tc>
        <w:tc>
          <w:tcPr>
            <w:tcW w:w="0" w:type="auto"/>
            <w:vAlign w:val="center"/>
            <w:hideMark/>
          </w:tcPr>
          <w:p w14:paraId="125EE6D8"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Zygapophyseal Joint</w:t>
            </w:r>
          </w:p>
        </w:tc>
      </w:tr>
      <w:tr w:rsidR="00CC7F79" w:rsidRPr="00CC7F79" w14:paraId="70DD9F3B" w14:textId="77777777">
        <w:trPr>
          <w:tblCellSpacing w:w="15" w:type="dxa"/>
        </w:trPr>
        <w:tc>
          <w:tcPr>
            <w:tcW w:w="0" w:type="auto"/>
            <w:vAlign w:val="center"/>
            <w:hideMark/>
          </w:tcPr>
          <w:p w14:paraId="4446B77B"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Estresse Mecânico</w:t>
            </w:r>
          </w:p>
        </w:tc>
        <w:tc>
          <w:tcPr>
            <w:tcW w:w="0" w:type="auto"/>
            <w:vAlign w:val="center"/>
            <w:hideMark/>
          </w:tcPr>
          <w:p w14:paraId="67F9AFE4"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Stress, Mechanical</w:t>
            </w:r>
          </w:p>
        </w:tc>
      </w:tr>
      <w:tr w:rsidR="00CC7F79" w:rsidRPr="00CC7F79" w14:paraId="7C0E4E4A" w14:textId="77777777">
        <w:trPr>
          <w:tblCellSpacing w:w="15" w:type="dxa"/>
        </w:trPr>
        <w:tc>
          <w:tcPr>
            <w:tcW w:w="0" w:type="auto"/>
            <w:vAlign w:val="center"/>
            <w:hideMark/>
          </w:tcPr>
          <w:p w14:paraId="01329FBC"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Amplitude de Movimento Articular</w:t>
            </w:r>
          </w:p>
        </w:tc>
        <w:tc>
          <w:tcPr>
            <w:tcW w:w="0" w:type="auto"/>
            <w:vAlign w:val="center"/>
            <w:hideMark/>
          </w:tcPr>
          <w:p w14:paraId="0E26A82C"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Range of Motion, Articular</w:t>
            </w:r>
          </w:p>
        </w:tc>
      </w:tr>
      <w:tr w:rsidR="00CC7F79" w:rsidRPr="00CC7F79" w14:paraId="01907D33" w14:textId="77777777">
        <w:trPr>
          <w:tblCellSpacing w:w="15" w:type="dxa"/>
        </w:trPr>
        <w:tc>
          <w:tcPr>
            <w:tcW w:w="0" w:type="auto"/>
            <w:vAlign w:val="center"/>
            <w:hideMark/>
          </w:tcPr>
          <w:p w14:paraId="4BDE5BF7"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Instabilidade Articular</w:t>
            </w:r>
          </w:p>
        </w:tc>
        <w:tc>
          <w:tcPr>
            <w:tcW w:w="0" w:type="auto"/>
            <w:vAlign w:val="center"/>
            <w:hideMark/>
          </w:tcPr>
          <w:p w14:paraId="2C7AE42E" w14:textId="77777777" w:rsidR="00CC7F79" w:rsidRPr="00CC7F79" w:rsidRDefault="00CC7F79" w:rsidP="00CC7F79">
            <w:pPr>
              <w:spacing w:after="0"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Joint Instability</w:t>
            </w:r>
          </w:p>
        </w:tc>
      </w:tr>
    </w:tbl>
    <w:p w14:paraId="1F1FC1C1"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Os descritores anatômicos e biomecânicos foram conferidos na edição oficial de 2026 do DeCS/MeSH. (</w:t>
      </w:r>
      <w:hyperlink r:id="rId5" w:tooltip="Fenômenos Biomecânicos - DeCS - BVS" w:history="1">
        <w:r w:rsidRPr="00CC7F79">
          <w:rPr>
            <w:rFonts w:ascii="Times New Roman" w:eastAsia="Times New Roman" w:hAnsi="Times New Roman" w:cs="Times New Roman"/>
            <w:color w:val="0000FF"/>
            <w:kern w:val="0"/>
            <w:u w:val="single"/>
            <w14:ligatures w14:val="none"/>
          </w:rPr>
          <w:t>DeCS</w:t>
        </w:r>
      </w:hyperlink>
      <w:r w:rsidRPr="00CC7F79">
        <w:rPr>
          <w:rFonts w:ascii="Times New Roman" w:eastAsia="Times New Roman" w:hAnsi="Times New Roman" w:cs="Times New Roman"/>
          <w:color w:val="000000"/>
          <w:kern w:val="0"/>
          <w14:ligatures w14:val="none"/>
        </w:rPr>
        <w:t>)</w:t>
      </w:r>
    </w:p>
    <w:p w14:paraId="2058D3BF"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Os termos referentes a degeneração, estresse, movimento e instabilidade também correspondem à nomenclatura controlada oficial. (</w:t>
      </w:r>
      <w:hyperlink r:id="rId6" w:tooltip="DeCS" w:history="1">
        <w:r w:rsidRPr="00CC7F79">
          <w:rPr>
            <w:rFonts w:ascii="Times New Roman" w:eastAsia="Times New Roman" w:hAnsi="Times New Roman" w:cs="Times New Roman"/>
            <w:color w:val="0000FF"/>
            <w:kern w:val="0"/>
            <w:u w:val="single"/>
            <w14:ligatures w14:val="none"/>
          </w:rPr>
          <w:t>DeCS</w:t>
        </w:r>
      </w:hyperlink>
      <w:r w:rsidRPr="00CC7F79">
        <w:rPr>
          <w:rFonts w:ascii="Times New Roman" w:eastAsia="Times New Roman" w:hAnsi="Times New Roman" w:cs="Times New Roman"/>
          <w:color w:val="000000"/>
          <w:kern w:val="0"/>
          <w14:ligatures w14:val="none"/>
        </w:rPr>
        <w:t>)</w:t>
      </w:r>
    </w:p>
    <w:p w14:paraId="0AC00212" w14:textId="77777777" w:rsidR="00CC7F79" w:rsidRPr="00CC7F79" w:rsidRDefault="00CC7F79" w:rsidP="00CC7F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F79">
        <w:rPr>
          <w:rFonts w:ascii="Times New Roman" w:eastAsia="Times New Roman" w:hAnsi="Times New Roman" w:cs="Times New Roman"/>
          <w:b/>
          <w:bCs/>
          <w:color w:val="000000"/>
          <w:kern w:val="0"/>
          <w:sz w:val="27"/>
          <w:szCs w:val="27"/>
          <w14:ligatures w14:val="none"/>
        </w:rPr>
        <w:t>Palavras-chave livres adicionais</w:t>
      </w:r>
    </w:p>
    <w:p w14:paraId="031C26CD"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b/>
          <w:bCs/>
          <w:color w:val="000000"/>
          <w:kern w:val="0"/>
          <w14:ligatures w14:val="none"/>
        </w:rPr>
        <w:t>Eixo instantâneo de rotação; cinemática tridimensional da coluna; alinhamento espinopélvico.</w:t>
      </w:r>
    </w:p>
    <w:p w14:paraId="7D6D131E"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5EC86F94">
          <v:rect id="Horizontal Line 8"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C836CFE" w14:textId="77777777" w:rsidR="00CC7F79" w:rsidRPr="00CC7F79" w:rsidRDefault="00CC7F79" w:rsidP="00CC7F7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C7F79">
        <w:rPr>
          <w:rFonts w:ascii="Times New Roman" w:eastAsia="Times New Roman" w:hAnsi="Times New Roman" w:cs="Times New Roman"/>
          <w:b/>
          <w:bCs/>
          <w:color w:val="000000"/>
          <w:kern w:val="36"/>
          <w:sz w:val="48"/>
          <w:szCs w:val="48"/>
          <w14:ligatures w14:val="none"/>
        </w:rPr>
        <w:t>Três cards de destaque</w:t>
      </w:r>
    </w:p>
    <w:p w14:paraId="38F9394B"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Card 1 — Conceito essencial</w:t>
      </w:r>
    </w:p>
    <w:p w14:paraId="4C17D719" w14:textId="77777777" w:rsidR="00CC7F79" w:rsidRPr="00CC7F79" w:rsidRDefault="00CC7F79" w:rsidP="00CC7F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F79">
        <w:rPr>
          <w:rFonts w:ascii="Times New Roman" w:eastAsia="Times New Roman" w:hAnsi="Times New Roman" w:cs="Times New Roman"/>
          <w:b/>
          <w:bCs/>
          <w:color w:val="000000"/>
          <w:kern w:val="0"/>
          <w:sz w:val="27"/>
          <w:szCs w:val="27"/>
          <w14:ligatures w14:val="none"/>
        </w:rPr>
        <w:t>Movimento nasce da arquitetura</w:t>
      </w:r>
    </w:p>
    <w:p w14:paraId="49A3C6A7"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 xml:space="preserve">A mobilidade de cada região da coluna não depende apenas do disco. A orientação das facetas, as curvas fisiológicas, os ligamentos, os músculos e a relação com a caixa torácica determinam </w:t>
      </w:r>
      <w:r w:rsidRPr="00CC7F79">
        <w:rPr>
          <w:rFonts w:ascii="Times New Roman" w:eastAsia="Times New Roman" w:hAnsi="Times New Roman" w:cs="Times New Roman"/>
          <w:color w:val="000000"/>
          <w:kern w:val="0"/>
          <w14:ligatures w14:val="none"/>
        </w:rPr>
        <w:lastRenderedPageBreak/>
        <w:t>quais movimentos são favorecidos ou restringidos e como as cargas são transmitidas entre os segmentos.</w:t>
      </w:r>
    </w:p>
    <w:p w14:paraId="2B08D614"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14BA5065">
          <v:rect id="Horizontal Line 9"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D0975D7"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Card 2 — Decisão clínica</w:t>
      </w:r>
    </w:p>
    <w:p w14:paraId="3EFA71E7" w14:textId="77777777" w:rsidR="00CC7F79" w:rsidRPr="00CC7F79" w:rsidRDefault="00CC7F79" w:rsidP="00CC7F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F79">
        <w:rPr>
          <w:rFonts w:ascii="Times New Roman" w:eastAsia="Times New Roman" w:hAnsi="Times New Roman" w:cs="Times New Roman"/>
          <w:b/>
          <w:bCs/>
          <w:color w:val="000000"/>
          <w:kern w:val="0"/>
          <w:sz w:val="27"/>
          <w:szCs w:val="27"/>
          <w14:ligatures w14:val="none"/>
        </w:rPr>
        <w:t>Avalie o segmento em movimento</w:t>
      </w:r>
    </w:p>
    <w:p w14:paraId="28F0789F"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Instabilidades funcionais podem não ser reconhecidas em exames estáticos. Quando houver suspeita clínica, o capítulo recomenda avaliar a mobilidade com estudos dinâmicos, correlacionando hipermobilidade, mobilidade paradoxal ou progressão da listese com dor axial, colapso discal e sobrecarga das articulações posteriores.</w:t>
      </w:r>
    </w:p>
    <w:p w14:paraId="2C502D1A"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13ADFBB8">
          <v:rect id="Horizontal Line 10"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DF00E9" w14:textId="77777777" w:rsidR="00CC7F79" w:rsidRPr="00CC7F79" w:rsidRDefault="00CC7F79" w:rsidP="00CC7F7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C7F79">
        <w:rPr>
          <w:rFonts w:ascii="Times New Roman" w:eastAsia="Times New Roman" w:hAnsi="Times New Roman" w:cs="Times New Roman"/>
          <w:b/>
          <w:bCs/>
          <w:color w:val="000000"/>
          <w:kern w:val="0"/>
          <w:sz w:val="36"/>
          <w:szCs w:val="36"/>
          <w14:ligatures w14:val="none"/>
        </w:rPr>
        <w:t>Card 3 — Pérola ou alerta</w:t>
      </w:r>
    </w:p>
    <w:p w14:paraId="7832A28A" w14:textId="77777777" w:rsidR="00CC7F79" w:rsidRPr="00CC7F79" w:rsidRDefault="00CC7F79" w:rsidP="00CC7F7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C7F79">
        <w:rPr>
          <w:rFonts w:ascii="Times New Roman" w:eastAsia="Times New Roman" w:hAnsi="Times New Roman" w:cs="Times New Roman"/>
          <w:b/>
          <w:bCs/>
          <w:color w:val="000000"/>
          <w:kern w:val="0"/>
          <w:sz w:val="27"/>
          <w:szCs w:val="27"/>
          <w14:ligatures w14:val="none"/>
        </w:rPr>
        <w:t>Alinhamento local não basta</w:t>
      </w:r>
    </w:p>
    <w:p w14:paraId="4992754E"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Restaurar apenas a altura discal ou corrigir uma deformidade localizada não garante uma mecânica adequada. Lordose segmentar, alinhamento global, posição do implante, eixo de rotação e compensações pélvicas devem ser considerados para reduzir sobrecarga, falha da instrumentação e desequilíbrio residual.</w:t>
      </w:r>
    </w:p>
    <w:p w14:paraId="12AAFDD7"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48482631">
          <v:rect id="Horizontal Line 1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4D8E60A" w14:textId="77777777" w:rsidR="00CC7F79" w:rsidRPr="00CC7F79" w:rsidRDefault="00CC7F79" w:rsidP="00CC7F7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C7F79">
        <w:rPr>
          <w:rFonts w:ascii="Times New Roman" w:eastAsia="Times New Roman" w:hAnsi="Times New Roman" w:cs="Times New Roman"/>
          <w:b/>
          <w:bCs/>
          <w:color w:val="000000"/>
          <w:kern w:val="36"/>
          <w:sz w:val="48"/>
          <w:szCs w:val="48"/>
          <w14:ligatures w14:val="none"/>
        </w:rPr>
        <w:t>Referências bibliográficas</w:t>
      </w:r>
    </w:p>
    <w:p w14:paraId="5B46D763"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Hirsch C. The reaction of intervertebral discs to compression forces. J Bone Joint Surg. 1955;37A:1188.</w:t>
      </w:r>
    </w:p>
    <w:p w14:paraId="47C1C9C1"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Prasad P, King AI, Ewing CL. The role of articular facets during +Gz acceleration. J Appl Mech. 1974;41:321.</w:t>
      </w:r>
    </w:p>
    <w:p w14:paraId="7065D451"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Yoganandan N, Kumaresan S, Pintar FA. Spinal facet joint biomechanics and mechanotransduction in injury and degeneration. Spine Pain. 2011.</w:t>
      </w:r>
    </w:p>
    <w:p w14:paraId="0D8F1426"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Pal GP, Routal RV, Saggu SK. The orientation of the articular facets of the zygapophyseal joints at the cervical and upper thoracic region. J Anat. 2001;198(Pt 4):431–441.</w:t>
      </w:r>
    </w:p>
    <w:p w14:paraId="4504BEDC"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Tebet MA, Barros Filho TEP, Machado IR, Paulin JBP, Shimano AC. Estudo biomecânico por impacto do mecanismo de flexão com rotação axial da coluna cervical de cadáveres. Acta Ortop Bras. 1999;7(1):29.</w:t>
      </w:r>
    </w:p>
    <w:p w14:paraId="621ADB95"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Naylor A, Happey F, MacRae T. Changes in the lumbar intervertebral disc with age: a biophysical study. J Am Geriatr Soc. 1955;3:964.</w:t>
      </w:r>
    </w:p>
    <w:p w14:paraId="3B66BEEB"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lastRenderedPageBreak/>
        <w:t>Markolf KL, Morris JM. The structural components of the intervertebral disc. J Bone Joint Surg. 1974;56A:675.</w:t>
      </w:r>
    </w:p>
    <w:p w14:paraId="6FB70467"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Nachemson A, Morris JM. In vivo measurements of intradiscal pressure: discometry. J Bone Joint Surg. 1974;46A:1077.</w:t>
      </w:r>
    </w:p>
    <w:p w14:paraId="5B30C4C0"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Panjabi MM, White AA, Brand RA. A note on defining body parts configurations. J Biomech. 1974;7:385.</w:t>
      </w:r>
    </w:p>
    <w:p w14:paraId="78F8D1CA"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White AA III, Panjabi MM. Clinical biomechanics of the spine. 2nd ed. Philadelphia: JB Lippincott; 1990.</w:t>
      </w:r>
    </w:p>
    <w:p w14:paraId="7C951CA1"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Farfan HF. Mechanical disorders of the low back. Philadelphia: Lea &amp; Febiger; 1973.</w:t>
      </w:r>
    </w:p>
    <w:p w14:paraId="7F783C0E"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Herkowitz HN, Garfin SR, Eismont FJ, Bell GR, Balderston RA. Rothman-Simeone the spine. 5th ed. Philadelphia: Elsevier Inc.; 2006. p. 132–156.</w:t>
      </w:r>
    </w:p>
    <w:p w14:paraId="42A4D0C2"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Lumsden RM, Morris JM. An in vivo study of axial rotation and immobilization at the lumbosacral joint. J Bone Joint Surg. 1968;50A:1591.</w:t>
      </w:r>
    </w:p>
    <w:p w14:paraId="47E97D11"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Rolander SD. Motion of the lumbar spine with special reference to the stabilizing effect of posterior fusion. Acta Orthop Scand. 1966;(Suppl 99).</w:t>
      </w:r>
    </w:p>
    <w:p w14:paraId="636FBFCD" w14:textId="77777777" w:rsidR="00CC7F79" w:rsidRPr="00CC7F79" w:rsidRDefault="00CC7F79" w:rsidP="00CC7F7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color w:val="000000"/>
          <w:kern w:val="0"/>
          <w14:ligatures w14:val="none"/>
        </w:rPr>
        <w:t>Cossette JW, Farfan HF, Robertson GH, Wells RV. The instantaneous center of rotation of the third intervertebral joint. J Biomech. 1971;4:149.</w:t>
      </w:r>
    </w:p>
    <w:p w14:paraId="70C11CFA"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2D46D800">
          <v:rect id="Horizontal Line 12"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B81A51F" w14:textId="77777777" w:rsidR="00CC7F79" w:rsidRPr="00CC7F79" w:rsidRDefault="00CC7F79" w:rsidP="00CC7F7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C7F79">
        <w:rPr>
          <w:rFonts w:ascii="Times New Roman" w:eastAsia="Times New Roman" w:hAnsi="Times New Roman" w:cs="Times New Roman"/>
          <w:b/>
          <w:bCs/>
          <w:color w:val="000000"/>
          <w:kern w:val="36"/>
          <w:sz w:val="48"/>
          <w:szCs w:val="48"/>
          <w14:ligatures w14:val="none"/>
        </w:rPr>
        <w:t>Metadados para publicação</w:t>
      </w:r>
    </w:p>
    <w:p w14:paraId="77A86B4D"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b/>
          <w:bCs/>
          <w:color w:val="000000"/>
          <w:kern w:val="0"/>
          <w14:ligatures w14:val="none"/>
        </w:rPr>
        <w:t>Título SEO:</w:t>
      </w:r>
      <w:r w:rsidRPr="00CC7F79">
        <w:rPr>
          <w:rFonts w:ascii="Times New Roman" w:eastAsia="Times New Roman" w:hAnsi="Times New Roman" w:cs="Times New Roman"/>
          <w:color w:val="000000"/>
          <w:kern w:val="0"/>
          <w14:ligatures w14:val="none"/>
        </w:rPr>
        <w:t> Biomecânica da Coluna Vertebral | Tratado</w:t>
      </w:r>
    </w:p>
    <w:p w14:paraId="13296F66"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b/>
          <w:bCs/>
          <w:color w:val="000000"/>
          <w:kern w:val="0"/>
          <w14:ligatures w14:val="none"/>
        </w:rPr>
        <w:t>Meta descrição:</w:t>
      </w:r>
      <w:r w:rsidRPr="00CC7F79">
        <w:rPr>
          <w:rFonts w:ascii="Times New Roman" w:eastAsia="Times New Roman" w:hAnsi="Times New Roman" w:cs="Times New Roman"/>
          <w:color w:val="000000"/>
          <w:kern w:val="0"/>
          <w14:ligatures w14:val="none"/>
        </w:rPr>
        <w:t> Entenda como discos, facetas, curvas fisiológicas e eixo instantâneo de rotação determinam carga, movimento, degeneração e planejamento cirúrgico.</w:t>
      </w:r>
    </w:p>
    <w:p w14:paraId="37A34A49"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b/>
          <w:bCs/>
          <w:color w:val="000000"/>
          <w:kern w:val="0"/>
          <w14:ligatures w14:val="none"/>
        </w:rPr>
        <w:t>Resumo de chamada:</w:t>
      </w:r>
      <w:r w:rsidRPr="00CC7F79">
        <w:rPr>
          <w:rFonts w:ascii="Times New Roman" w:eastAsia="Times New Roman" w:hAnsi="Times New Roman" w:cs="Times New Roman"/>
          <w:color w:val="000000"/>
          <w:kern w:val="0"/>
          <w14:ligatures w14:val="none"/>
        </w:rPr>
        <w:t> Explore os princípios biomecânicos que integram curvas fisiológicas, discos, facetas e cinemática à degeneração, à instabilidade e ao planejamento cirúrgico da coluna.</w:t>
      </w:r>
    </w:p>
    <w:p w14:paraId="0E65AF22" w14:textId="77777777" w:rsidR="00CC7F79" w:rsidRPr="00CC7F79" w:rsidRDefault="00CC7F79" w:rsidP="00CC7F79">
      <w:pPr>
        <w:spacing w:before="100" w:beforeAutospacing="1" w:after="100" w:afterAutospacing="1" w:line="240" w:lineRule="auto"/>
        <w:rPr>
          <w:rFonts w:ascii="Times New Roman" w:eastAsia="Times New Roman" w:hAnsi="Times New Roman" w:cs="Times New Roman"/>
          <w:color w:val="000000"/>
          <w:kern w:val="0"/>
          <w14:ligatures w14:val="none"/>
        </w:rPr>
      </w:pPr>
      <w:r w:rsidRPr="00CC7F79">
        <w:rPr>
          <w:rFonts w:ascii="Times New Roman" w:eastAsia="Times New Roman" w:hAnsi="Times New Roman" w:cs="Times New Roman"/>
          <w:b/>
          <w:bCs/>
          <w:color w:val="000000"/>
          <w:kern w:val="0"/>
          <w14:ligatures w14:val="none"/>
        </w:rPr>
        <w:t>Sugestão de slug:</w:t>
      </w:r>
      <w:r w:rsidRPr="00CC7F79">
        <w:rPr>
          <w:rFonts w:ascii="Times New Roman" w:eastAsia="Times New Roman" w:hAnsi="Times New Roman" w:cs="Times New Roman"/>
          <w:color w:val="000000"/>
          <w:kern w:val="0"/>
          <w14:ligatures w14:val="none"/>
        </w:rPr>
        <w:t> </w:t>
      </w:r>
      <w:r w:rsidRPr="00CC7F79">
        <w:rPr>
          <w:rFonts w:ascii="Courier New" w:eastAsia="Times New Roman" w:hAnsi="Courier New" w:cs="Courier New"/>
          <w:color w:val="000000"/>
          <w:kern w:val="0"/>
          <w:sz w:val="20"/>
          <w:szCs w:val="20"/>
          <w14:ligatures w14:val="none"/>
        </w:rPr>
        <w:t>biomecanica-da-coluna-vertebral</w:t>
      </w:r>
    </w:p>
    <w:p w14:paraId="6DFC724E" w14:textId="77777777" w:rsidR="00CC7F79" w:rsidRPr="00CC7F79" w:rsidRDefault="00970886" w:rsidP="00CC7F79">
      <w:pPr>
        <w:spacing w:after="0" w:line="240" w:lineRule="auto"/>
        <w:rPr>
          <w:rFonts w:ascii="Times New Roman" w:eastAsia="Times New Roman" w:hAnsi="Times New Roman" w:cs="Times New Roman"/>
          <w:kern w:val="0"/>
          <w14:ligatures w14:val="none"/>
        </w:rPr>
      </w:pPr>
      <w:r>
        <w:rPr>
          <w:noProof/>
        </w:rPr>
      </w:r>
      <w:r>
        <w:pict w14:anchorId="7B3D1DB3">
          <v:rect id="Horizontal Line 1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C744E4F" w14:textId="77777777" w:rsidR="00CC7F79" w:rsidRDefault="00CC7F79"/>
    <w:sectPr w:rsidR="00CC7F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5958FC"/>
    <w:multiLevelType w:val="multilevel"/>
    <w:tmpl w:val="E2A0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87185"/>
    <w:multiLevelType w:val="multilevel"/>
    <w:tmpl w:val="723A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1F2A2F"/>
    <w:multiLevelType w:val="multilevel"/>
    <w:tmpl w:val="1CA6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925949">
    <w:abstractNumId w:val="1"/>
  </w:num>
  <w:num w:numId="2" w16cid:durableId="663506595">
    <w:abstractNumId w:val="0"/>
  </w:num>
  <w:num w:numId="3" w16cid:durableId="5173491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F79"/>
    <w:rsid w:val="001B6021"/>
    <w:rsid w:val="006F6E99"/>
    <w:rsid w:val="00970886"/>
    <w:rsid w:val="00CC7F79"/>
    <w:rsid w:val="00E31FD3"/>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DE8C275"/>
  <w15:chartTrackingRefBased/>
  <w15:docId w15:val="{E5076C09-B72B-6849-B9DE-81F45D401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7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7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7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7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F79"/>
    <w:rPr>
      <w:rFonts w:eastAsiaTheme="majorEastAsia" w:cstheme="majorBidi"/>
      <w:color w:val="272727" w:themeColor="text1" w:themeTint="D8"/>
    </w:rPr>
  </w:style>
  <w:style w:type="paragraph" w:styleId="Title">
    <w:name w:val="Title"/>
    <w:basedOn w:val="Normal"/>
    <w:next w:val="Normal"/>
    <w:link w:val="TitleChar"/>
    <w:uiPriority w:val="10"/>
    <w:qFormat/>
    <w:rsid w:val="00CC7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F79"/>
    <w:pPr>
      <w:spacing w:before="160"/>
      <w:jc w:val="center"/>
    </w:pPr>
    <w:rPr>
      <w:i/>
      <w:iCs/>
      <w:color w:val="404040" w:themeColor="text1" w:themeTint="BF"/>
    </w:rPr>
  </w:style>
  <w:style w:type="character" w:customStyle="1" w:styleId="QuoteChar">
    <w:name w:val="Quote Char"/>
    <w:basedOn w:val="DefaultParagraphFont"/>
    <w:link w:val="Quote"/>
    <w:uiPriority w:val="29"/>
    <w:rsid w:val="00CC7F79"/>
    <w:rPr>
      <w:i/>
      <w:iCs/>
      <w:color w:val="404040" w:themeColor="text1" w:themeTint="BF"/>
    </w:rPr>
  </w:style>
  <w:style w:type="paragraph" w:styleId="ListParagraph">
    <w:name w:val="List Paragraph"/>
    <w:basedOn w:val="Normal"/>
    <w:uiPriority w:val="34"/>
    <w:qFormat/>
    <w:rsid w:val="00CC7F79"/>
    <w:pPr>
      <w:ind w:left="720"/>
      <w:contextualSpacing/>
    </w:pPr>
  </w:style>
  <w:style w:type="character" w:styleId="IntenseEmphasis">
    <w:name w:val="Intense Emphasis"/>
    <w:basedOn w:val="DefaultParagraphFont"/>
    <w:uiPriority w:val="21"/>
    <w:qFormat/>
    <w:rsid w:val="00CC7F79"/>
    <w:rPr>
      <w:i/>
      <w:iCs/>
      <w:color w:val="0F4761" w:themeColor="accent1" w:themeShade="BF"/>
    </w:rPr>
  </w:style>
  <w:style w:type="paragraph" w:styleId="IntenseQuote">
    <w:name w:val="Intense Quote"/>
    <w:basedOn w:val="Normal"/>
    <w:next w:val="Normal"/>
    <w:link w:val="IntenseQuoteChar"/>
    <w:uiPriority w:val="30"/>
    <w:qFormat/>
    <w:rsid w:val="00CC7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F79"/>
    <w:rPr>
      <w:i/>
      <w:iCs/>
      <w:color w:val="0F4761" w:themeColor="accent1" w:themeShade="BF"/>
    </w:rPr>
  </w:style>
  <w:style w:type="character" w:styleId="IntenseReference">
    <w:name w:val="Intense Reference"/>
    <w:basedOn w:val="DefaultParagraphFont"/>
    <w:uiPriority w:val="32"/>
    <w:qFormat/>
    <w:rsid w:val="00CC7F79"/>
    <w:rPr>
      <w:b/>
      <w:bCs/>
      <w:smallCaps/>
      <w:color w:val="0F4761" w:themeColor="accent1" w:themeShade="BF"/>
      <w:spacing w:val="5"/>
    </w:rPr>
  </w:style>
  <w:style w:type="paragraph" w:styleId="NormalWeb">
    <w:name w:val="Normal (Web)"/>
    <w:basedOn w:val="Normal"/>
    <w:uiPriority w:val="99"/>
    <w:semiHidden/>
    <w:unhideWhenUsed/>
    <w:rsid w:val="00CC7F7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C7F79"/>
  </w:style>
  <w:style w:type="character" w:styleId="Strong">
    <w:name w:val="Strong"/>
    <w:basedOn w:val="DefaultParagraphFont"/>
    <w:uiPriority w:val="22"/>
    <w:qFormat/>
    <w:rsid w:val="00CC7F79"/>
    <w:rPr>
      <w:b/>
      <w:bCs/>
    </w:rPr>
  </w:style>
  <w:style w:type="character" w:styleId="Emphasis">
    <w:name w:val="Emphasis"/>
    <w:basedOn w:val="DefaultParagraphFont"/>
    <w:uiPriority w:val="20"/>
    <w:qFormat/>
    <w:rsid w:val="00CC7F79"/>
    <w:rPr>
      <w:i/>
      <w:iCs/>
    </w:rPr>
  </w:style>
  <w:style w:type="character" w:styleId="Hyperlink">
    <w:name w:val="Hyperlink"/>
    <w:basedOn w:val="DefaultParagraphFont"/>
    <w:uiPriority w:val="99"/>
    <w:semiHidden/>
    <w:unhideWhenUsed/>
    <w:rsid w:val="00CC7F79"/>
    <w:rPr>
      <w:color w:val="0000FF"/>
      <w:u w:val="single"/>
    </w:rPr>
  </w:style>
  <w:style w:type="character" w:styleId="HTMLCode">
    <w:name w:val="HTML Code"/>
    <w:basedOn w:val="DefaultParagraphFont"/>
    <w:uiPriority w:val="99"/>
    <w:semiHidden/>
    <w:unhideWhenUsed/>
    <w:rsid w:val="00CC7F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cs.bvsalud.org/ths/resource/?id=53493" TargetMode="External"/><Relationship Id="rId5" Type="http://schemas.openxmlformats.org/officeDocument/2006/relationships/hyperlink" Target="https://decs.bvsalud.org/ths/resource/?id=1721&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2126</Words>
  <Characters>12995</Characters>
  <Application>Microsoft Office Word</Application>
  <DocSecurity>0</DocSecurity>
  <Lines>240</Lines>
  <Paragraphs>112</Paragraphs>
  <ScaleCrop>false</ScaleCrop>
  <Company/>
  <LinksUpToDate>false</LinksUpToDate>
  <CharactersWithSpaces>15009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2</cp:revision>
  <dcterms:created xsi:type="dcterms:W3CDTF">2026-08-18T15:44:00Z</dcterms:created>
  <dcterms:modified xsi:type="dcterms:W3CDTF">2026-08-18T16:00:00Z</dcterms:modified>
</cp:coreProperties>
</file>