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BF04E" w14:textId="77777777" w:rsidR="00D67851" w:rsidRPr="00D67851" w:rsidRDefault="00D67851" w:rsidP="00D67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7851">
        <w:rPr>
          <w:rFonts w:ascii="Times New Roman" w:eastAsia="Times New Roman" w:hAnsi="Times New Roman" w:cs="Times New Roman"/>
          <w:b/>
          <w:bCs/>
          <w:color w:val="000000"/>
          <w:kern w:val="36"/>
          <w:sz w:val="48"/>
          <w:szCs w:val="48"/>
          <w14:ligatures w14:val="none"/>
        </w:rPr>
        <w:t>Capítulo 6 — Anatomia Cirúrgica e Abordagens da Junção Toracolombar</w:t>
      </w:r>
    </w:p>
    <w:p w14:paraId="2F7ECCFC"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Identificação</w:t>
      </w:r>
    </w:p>
    <w:p w14:paraId="2E8AA18F" w14:textId="44AD5853"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Número do capítulo:</w:t>
      </w:r>
      <w:r w:rsidRPr="00D67851">
        <w:rPr>
          <w:rFonts w:ascii="Times New Roman" w:eastAsia="Times New Roman" w:hAnsi="Times New Roman" w:cs="Times New Roman"/>
          <w:color w:val="000000"/>
          <w:kern w:val="0"/>
          <w14:ligatures w14:val="none"/>
        </w:rPr>
        <w:t> 6</w:t>
      </w:r>
      <w:r w:rsidRPr="00D67851">
        <w:rPr>
          <w:rFonts w:ascii="Times New Roman" w:eastAsia="Times New Roman" w:hAnsi="Times New Roman" w:cs="Times New Roman"/>
          <w:color w:val="000000"/>
          <w:kern w:val="0"/>
          <w14:ligatures w14:val="none"/>
        </w:rPr>
        <w:br/>
      </w:r>
      <w:r w:rsidRPr="00D67851">
        <w:rPr>
          <w:rFonts w:ascii="Times New Roman" w:eastAsia="Times New Roman" w:hAnsi="Times New Roman" w:cs="Times New Roman"/>
          <w:b/>
          <w:bCs/>
          <w:color w:val="000000"/>
          <w:kern w:val="0"/>
          <w14:ligatures w14:val="none"/>
        </w:rPr>
        <w:t>Título completo:</w:t>
      </w:r>
      <w:r w:rsidRPr="00D67851">
        <w:rPr>
          <w:rFonts w:ascii="Times New Roman" w:eastAsia="Times New Roman" w:hAnsi="Times New Roman" w:cs="Times New Roman"/>
          <w:color w:val="000000"/>
          <w:kern w:val="0"/>
          <w14:ligatures w14:val="none"/>
        </w:rPr>
        <w:t> Anatomia Cirúrgica e Abordagens da Junção Toracolombar</w:t>
      </w:r>
      <w:r w:rsidRPr="00D67851">
        <w:rPr>
          <w:rFonts w:ascii="Times New Roman" w:eastAsia="Times New Roman" w:hAnsi="Times New Roman" w:cs="Times New Roman"/>
          <w:color w:val="000000"/>
          <w:kern w:val="0"/>
          <w14:ligatures w14:val="none"/>
        </w:rPr>
        <w:br/>
      </w:r>
      <w:r w:rsidRPr="00D67851">
        <w:rPr>
          <w:rFonts w:ascii="Times New Roman" w:eastAsia="Times New Roman" w:hAnsi="Times New Roman" w:cs="Times New Roman"/>
          <w:b/>
          <w:bCs/>
          <w:color w:val="000000"/>
          <w:kern w:val="0"/>
          <w14:ligatures w14:val="none"/>
        </w:rPr>
        <w:t>Seção do Tratado:</w:t>
      </w:r>
      <w:r w:rsidRPr="00D67851">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1</w:t>
      </w:r>
      <w:r w:rsidRPr="00D67851">
        <w:rPr>
          <w:rFonts w:ascii="Times New Roman" w:eastAsia="Times New Roman" w:hAnsi="Times New Roman" w:cs="Times New Roman"/>
          <w:color w:val="000000"/>
          <w:kern w:val="0"/>
          <w14:ligatures w14:val="none"/>
        </w:rPr>
        <w:t>.</w:t>
      </w:r>
    </w:p>
    <w:p w14:paraId="1764C5C4"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Autores</w:t>
      </w:r>
    </w:p>
    <w:p w14:paraId="1003A960" w14:textId="77777777" w:rsidR="00D67851" w:rsidRPr="00D67851" w:rsidRDefault="00D67851" w:rsidP="00D678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Paulo Tadeu Maia Cavali</w:t>
      </w:r>
    </w:p>
    <w:p w14:paraId="7785920D" w14:textId="77777777" w:rsidR="00D67851" w:rsidRPr="00D67851" w:rsidRDefault="00D67851" w:rsidP="00D678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Aécio Rubens Dias Pereira Filho</w:t>
      </w:r>
    </w:p>
    <w:p w14:paraId="5A40F62E" w14:textId="77777777" w:rsidR="00D67851" w:rsidRPr="00D67851" w:rsidRDefault="00D67851" w:rsidP="00D6785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Renato de Oliveira</w:t>
      </w:r>
    </w:p>
    <w:p w14:paraId="09312D7D"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4098E25E">
          <v:rect id="_x0000_i1036" alt="" style="width:468pt;height:.05pt;mso-width-percent:0;mso-height-percent:0;mso-width-percent:0;mso-height-percent:0" o:hralign="center" o:hrstd="t" o:hr="t" fillcolor="#a0a0a0" stroked="f"/>
        </w:pict>
      </w:r>
    </w:p>
    <w:p w14:paraId="3EAAC1AB"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Contexto</w:t>
      </w:r>
    </w:p>
    <w:p w14:paraId="37D48BDF"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junção toracolombar é uma zona de transição estrutural e funcional entre a coluna torácica, relativamente rígida pela presença do gradil costal, e a coluna lombar, mais móvel nos planos sagital e lateral. O capítulo descreve anatomicamente essa região entre T10 e L2 e enfatiza a concentração das exigências mecânicas entre T11 e L2, sobretudo em T12–L1. A mudança das facetas do plano coronal para o sagital, a perda progressiva da contenção costal e a inflexão da curvatura sagital aumentam a mobilidade e a carga axial anterior. Do ponto de vista cirúrgico, a inserção do diafragma, a pleura, o retroperitônio, o músculo psoas, os grandes vasos, as artérias segmentares e a artéria de Adamkiewicz tornam a exposição particularmente complexa. A escolha entre abordagens posteriores, anterolaterais ou combinadas depende da doença, do nível, da lateralidade, da extensão do comprometimento e da necessidade de descompressão, reconstrução ou estabilização.</w:t>
      </w:r>
    </w:p>
    <w:p w14:paraId="7006C02D"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5BAAABE3">
          <v:rect id="_x0000_i1035" alt="" style="width:468pt;height:.05pt;mso-width-percent:0;mso-height-percent:0;mso-width-percent:0;mso-height-percent:0" o:hralign="center" o:hrstd="t" o:hr="t" fillcolor="#a0a0a0" stroked="f"/>
        </w:pict>
      </w:r>
    </w:p>
    <w:p w14:paraId="4E077A34"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Objetivo do capítulo</w:t>
      </w:r>
    </w:p>
    <w:p w14:paraId="0FE80079"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Apresentar o contexto anatômico, biomecânico e clínico da junção toracolombar e descrever os fundamentos das principais abordagens cirúrgicas. Ao final, o leitor deverá reconhecer os planos musculares e fasciais, compreender a relação do diafragma, da pleura, do psoas e da vascularização medular com os corredores operatórios, selecionar a via segundo a localização da doença e identificar os principais riscos e medidas de prevenção.</w:t>
      </w:r>
    </w:p>
    <w:p w14:paraId="5266E4CB"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34735088">
          <v:rect id="_x0000_i1034" style="width:0;height:1.5pt" o:hralign="center" o:hrstd="t" o:hr="t" fillcolor="#a0a0a0" stroked="f"/>
        </w:pict>
      </w:r>
    </w:p>
    <w:p w14:paraId="50641A7C" w14:textId="77777777" w:rsidR="00D67851" w:rsidRPr="00D67851" w:rsidRDefault="00D67851" w:rsidP="00D67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7851">
        <w:rPr>
          <w:rFonts w:ascii="Times New Roman" w:eastAsia="Times New Roman" w:hAnsi="Times New Roman" w:cs="Times New Roman"/>
          <w:b/>
          <w:bCs/>
          <w:color w:val="000000"/>
          <w:kern w:val="36"/>
          <w:sz w:val="48"/>
          <w:szCs w:val="48"/>
          <w14:ligatures w14:val="none"/>
        </w:rPr>
        <w:lastRenderedPageBreak/>
        <w:t>Conteúdo principal</w:t>
      </w:r>
    </w:p>
    <w:p w14:paraId="2B58DF9D"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Anatomia de transição e biomecânica</w:t>
      </w:r>
    </w:p>
    <w:p w14:paraId="0B875857"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junção toracolombar reúne características da coluna torácica distal e da lombar proximal. Os corpos vertebrais aumentam de volume em direção lombar; as facetas passam de orientação frontal para sagital; os processos espinhosos tornam-se mais espessos e horizontais; e os pedículos assumem maior convergência. As Figuras 6.1 e 6.2, nas páginas 52–53, ilustram essa mudança morfológica. A mobilidade cresce progressivamente até L1–L2, especialmente em flexoextensão, enquanto a perda do suporte costal aumenta a demanda sobre músculos, discos e ligamentos.</w:t>
      </w:r>
    </w:p>
    <w:p w14:paraId="6254ADF6"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Na via posterior, a musculatura organiza-se em planos superficial, intermediário e profundo. Multífidos e eretores da espinha participam da coaptação e do controle segmentar; seus ramos nervosos e vasculares penetram perpendicularmente aos processos transversos, exigindo cuidado durante a dissecção. Nas abordagens anterolaterais, o diafragma e suas cruras constituem uma barreira anatômica, e o psoas maior funciona como referência no plano retroperitoneal.</w:t>
      </w:r>
    </w:p>
    <w:p w14:paraId="65A2A496"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Abordagem posterior</w:t>
      </w:r>
    </w:p>
    <w:p w14:paraId="2B90EFC0"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via posterior permite descompressão neural, instrumentação segmentar, correção de deformidades, osteotomias e artrodese. A incisão mediana progride pelo tecido subcutâneo e pelas fáscias até os processos espinhosos. Após o afastamento dos planos superficial e intermediário, os músculos profundos são descolados subperiostealmente com instrumento de Cobb e bisturi elétrico, expondo processos espinhosos, lâminas, facetas e processos transversos. Essa técnica reduz o sangramento e amplia a exposição, mas deve limitar o tempo e a intensidade do afastamento muscular para preservar perfusão e inervação.</w:t>
      </w:r>
    </w:p>
    <w:p w14:paraId="724A69BF"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Abordagem anterolateral</w:t>
      </w:r>
    </w:p>
    <w:p w14:paraId="2BC7ABCA"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via anterolateral oferece acesso direto ao corpo vertebral e pode ser utilizada em fraturas, infecções, tumores e deformidades com comprometimento anterior. Em T12–L1, costuma combinar abertura torácica com descolamento ou secção controlada do diafragma, mantendo o plano retroperitoneal e mobilizando parcialmente o psoas com proteção das raízes lombares. Quando o diafragma é seccionado, recomenda-se preservar uma borda insercional para facilitar o reparo.</w:t>
      </w:r>
    </w:p>
    <w:p w14:paraId="26163156"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lateralidade deve ser definida antes da operação, pois a abordagem não permite manipulação bilateral nem acesso ao pedículo contralateral. A escolha considera o lado da doença, aorta, fígado, deformidade, doença pleuropulmonar e cirurgias prévias. A obliquidade das costelas pode deslocar a exposição em relação à incisão; por isso, a sequência da Figura 6.11, na página 63, reforça a marcação fluoroscópica do nível com o paciente já posicionado.</w:t>
      </w:r>
    </w:p>
    <w:p w14:paraId="3C6F78A0"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lastRenderedPageBreak/>
        <w:t>Alternativas e estruturas críticas</w:t>
      </w:r>
    </w:p>
    <w:p w14:paraId="1B735770"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Toracofrenolaparotomia, toracotomia, videotoracoscopia, miniacessos tubulares e dissecção extrapleural são apresentadas como opções conforme o nível e a extensão do procedimento. A abordagem extrapleural pode evitar a abertura intencional da cavidade e, em casos limitados, reduzir a necessidade de drenagem, mas a manipulação da pleura ainda pode causar exsudação, pneumotórax ou escape aéreo.</w:t>
      </w:r>
    </w:p>
    <w:p w14:paraId="32EE17D7"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Figura 6.7, na página 59, esquematiza a irrigação medular. A artéria de Adamkiewicz costuma originar-se entre T8 e L1, com predomínio à esquerda, e sua lesão pode causar isquemia medular anterior. O capítulo recomenda mapeamento por angiotomografia ou angiorressonância, clampeamento segmentar temporário em situações selecionadas e monitorização eletrofisiológica contínua.</w:t>
      </w:r>
    </w:p>
    <w:p w14:paraId="731556C3"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63D43390">
          <v:rect id="_x0000_i1033" style="width:0;height:1.5pt" o:hralign="center" o:hrstd="t" o:hr="t" fillcolor="#a0a0a0" stroked="f"/>
        </w:pict>
      </w:r>
    </w:p>
    <w:p w14:paraId="14AE77DF"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Aplicação clínica</w:t>
      </w:r>
    </w:p>
    <w:p w14:paraId="04395140"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aplicação clínica começa pela definição do alvo e do corredor que oferece exposição suficiente com menor agressão às estruturas críticas. A via posterior é particularmente útil quando o procedimento exige descompressão neural, controle multissegmentar, instrumentação ou correção de deformidade. A abordagem anterolateral favorece o acesso direto ao corpo vertebral e à coluna anterior, mas sua lateralidade precisa ser decidida com base na posição da lesão, na anatomia vascular e visceral e na condição pleuropulmonar.</w:t>
      </w:r>
    </w:p>
    <w:p w14:paraId="25EEB04F"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O planejamento deve incluir tomografia computadorizada, ressonância magnética e, nos procedimentos de maior risco vascular, localização da artéria de Adamkiewicz. O paciente deve ser movimentado em bloco e fixado com segurança em decúbito lateral. A marcação radiográfica após o posicionamento reduz erros de nível relacionados à obliquidade costal e ao deslocamento entre pele e vértebra. Quando houver abertura torácica, a tolerância à ventilação monopulmonar deve ser avaliada.</w:t>
      </w:r>
    </w:p>
    <w:p w14:paraId="50EE990B"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Durante a exposição, a dissecção subperiosteal, a preservação da borda diafragmática, a proteção da pleura e do psoas e a inspeção das estruturas manipuladas reduzem riscos. Mesmo na dissecção extrapleural, o capítulo recomenda vigilância para pneumotórax, derrame e escape aéreo; a manobra com soro e ventilação forçada auxilia a detecção de lesões pleurais. Quilotórax, isquemia medular, lesão frênica, hérnias toracoabdominais e complicações respiratórias exigem reconhecimento precoce. A participação de um cirurgião de acesso é apresentada como colaboração valiosa desde o planejamento até o pós-operatório.</w:t>
      </w:r>
    </w:p>
    <w:p w14:paraId="6C722CBC"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7587C8AA">
          <v:rect id="_x0000_i1032" style="width:0;height:1.5pt" o:hralign="center" o:hrstd="t" o:hr="t" fillcolor="#a0a0a0" stroked="f"/>
        </w:pict>
      </w:r>
    </w:p>
    <w:p w14:paraId="732B1E28"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Mensagem central</w:t>
      </w:r>
    </w:p>
    <w:p w14:paraId="5830DA18"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lastRenderedPageBreak/>
        <w:t>A segurança na junção toracolombar depende da integração entre anatomia de transição, localização da doença, lateralidade, condição pulmonar e risco vascular. A via posterior oferece controle neural e multissegmentar; a anterolateral permite acesso direto à coluna anterior, mas exige domínio do diafragma, da pleura, do retroperitônio e da artéria de Adamkiewicz. Planejamento por imagem, marcação correta do nível, dissecção por planos e monitorização contínua são determinantes para reduzir complicações.</w:t>
      </w:r>
    </w:p>
    <w:p w14:paraId="652BA468"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501E3C9B">
          <v:rect id="_x0000_i1031" style="width:0;height:1.5pt" o:hralign="center" o:hrstd="t" o:hr="t" fillcolor="#a0a0a0" stroked="f"/>
        </w:pict>
      </w:r>
    </w:p>
    <w:p w14:paraId="564F13E1"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Por que este capítulo importa</w:t>
      </w:r>
    </w:p>
    <w:p w14:paraId="32BA805F"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junção toracolombar concentra mobilidade, carga e vulnerabilidade em uma região cercada por estruturas que não toleram erro técnico. A mesma incisão pode alcançar um nível diferente do planejado por causa da obliquidade costal, e a escolha inadequada do lado pode aumentar o risco pulmonar, visceral ou vascular. Este capítulo mostra como transformar a anatomia em estratégia: definir o corredor pela localização da doença, mapear a irrigação medular, preservar pleura e diafragma e reconhecer quando a via posterior, anterolateral, extrapleural ou combinada oferece a exposição mais segura.</w:t>
      </w:r>
    </w:p>
    <w:p w14:paraId="37DB89FD"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04082F8F">
          <v:rect id="_x0000_i1030" style="width:0;height:1.5pt" o:hralign="center" o:hrstd="t" o:hr="t" fillcolor="#a0a0a0" stroked="f"/>
        </w:pict>
      </w:r>
    </w:p>
    <w:p w14:paraId="7C4981B4"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Palavras-chave e descritores</w:t>
      </w:r>
    </w:p>
    <w:p w14:paraId="2B01CB94" w14:textId="77777777" w:rsidR="00D67851" w:rsidRPr="00D67851" w:rsidRDefault="00D67851" w:rsidP="00D67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851">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528"/>
      </w:tblGrid>
      <w:tr w:rsidR="00D67851" w:rsidRPr="00D67851" w14:paraId="37531EC3" w14:textId="77777777">
        <w:trPr>
          <w:tblHeader/>
          <w:tblCellSpacing w:w="15" w:type="dxa"/>
        </w:trPr>
        <w:tc>
          <w:tcPr>
            <w:tcW w:w="0" w:type="auto"/>
            <w:vAlign w:val="center"/>
            <w:hideMark/>
          </w:tcPr>
          <w:p w14:paraId="7EEBC9E6" w14:textId="77777777" w:rsidR="00D67851" w:rsidRPr="00D67851" w:rsidRDefault="00D67851" w:rsidP="00D67851">
            <w:pPr>
              <w:spacing w:after="0" w:line="240" w:lineRule="auto"/>
              <w:jc w:val="center"/>
              <w:rPr>
                <w:rFonts w:ascii="Times New Roman" w:eastAsia="Times New Roman" w:hAnsi="Times New Roman" w:cs="Times New Roman"/>
                <w:b/>
                <w:bCs/>
                <w:color w:val="000000"/>
                <w:kern w:val="0"/>
                <w14:ligatures w14:val="none"/>
              </w:rPr>
            </w:pPr>
            <w:r w:rsidRPr="00D67851">
              <w:rPr>
                <w:rFonts w:ascii="Times New Roman" w:eastAsia="Times New Roman" w:hAnsi="Times New Roman" w:cs="Times New Roman"/>
                <w:b/>
                <w:bCs/>
                <w:color w:val="000000"/>
                <w:kern w:val="0"/>
                <w14:ligatures w14:val="none"/>
              </w:rPr>
              <w:t>DeCS — português</w:t>
            </w:r>
          </w:p>
        </w:tc>
        <w:tc>
          <w:tcPr>
            <w:tcW w:w="0" w:type="auto"/>
            <w:vAlign w:val="center"/>
            <w:hideMark/>
          </w:tcPr>
          <w:p w14:paraId="36AD744A" w14:textId="77777777" w:rsidR="00D67851" w:rsidRPr="00D67851" w:rsidRDefault="00D67851" w:rsidP="00D67851">
            <w:pPr>
              <w:spacing w:after="0" w:line="240" w:lineRule="auto"/>
              <w:jc w:val="center"/>
              <w:rPr>
                <w:rFonts w:ascii="Times New Roman" w:eastAsia="Times New Roman" w:hAnsi="Times New Roman" w:cs="Times New Roman"/>
                <w:b/>
                <w:bCs/>
                <w:color w:val="000000"/>
                <w:kern w:val="0"/>
                <w14:ligatures w14:val="none"/>
              </w:rPr>
            </w:pPr>
            <w:r w:rsidRPr="00D67851">
              <w:rPr>
                <w:rFonts w:ascii="Times New Roman" w:eastAsia="Times New Roman" w:hAnsi="Times New Roman" w:cs="Times New Roman"/>
                <w:b/>
                <w:bCs/>
                <w:color w:val="000000"/>
                <w:kern w:val="0"/>
                <w14:ligatures w14:val="none"/>
              </w:rPr>
              <w:t>MeSH — inglês</w:t>
            </w:r>
          </w:p>
        </w:tc>
      </w:tr>
      <w:tr w:rsidR="00D67851" w:rsidRPr="00D67851" w14:paraId="4D6A2662" w14:textId="77777777">
        <w:trPr>
          <w:tblCellSpacing w:w="15" w:type="dxa"/>
        </w:trPr>
        <w:tc>
          <w:tcPr>
            <w:tcW w:w="0" w:type="auto"/>
            <w:vAlign w:val="center"/>
            <w:hideMark/>
          </w:tcPr>
          <w:p w14:paraId="0ACFFD8E"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Coluna Vertebral</w:t>
            </w:r>
          </w:p>
        </w:tc>
        <w:tc>
          <w:tcPr>
            <w:tcW w:w="0" w:type="auto"/>
            <w:vAlign w:val="center"/>
            <w:hideMark/>
          </w:tcPr>
          <w:p w14:paraId="683ED479"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Spine</w:t>
            </w:r>
          </w:p>
        </w:tc>
      </w:tr>
      <w:tr w:rsidR="00D67851" w:rsidRPr="00D67851" w14:paraId="30BFF303" w14:textId="77777777">
        <w:trPr>
          <w:tblCellSpacing w:w="15" w:type="dxa"/>
        </w:trPr>
        <w:tc>
          <w:tcPr>
            <w:tcW w:w="0" w:type="auto"/>
            <w:vAlign w:val="center"/>
            <w:hideMark/>
          </w:tcPr>
          <w:p w14:paraId="7C4F642D"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Vértebras Torácicas</w:t>
            </w:r>
          </w:p>
        </w:tc>
        <w:tc>
          <w:tcPr>
            <w:tcW w:w="0" w:type="auto"/>
            <w:vAlign w:val="center"/>
            <w:hideMark/>
          </w:tcPr>
          <w:p w14:paraId="0CC305BE"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Thoracic Vertebrae</w:t>
            </w:r>
          </w:p>
        </w:tc>
      </w:tr>
      <w:tr w:rsidR="00D67851" w:rsidRPr="00D67851" w14:paraId="6ABD52B6" w14:textId="77777777">
        <w:trPr>
          <w:tblCellSpacing w:w="15" w:type="dxa"/>
        </w:trPr>
        <w:tc>
          <w:tcPr>
            <w:tcW w:w="0" w:type="auto"/>
            <w:vAlign w:val="center"/>
            <w:hideMark/>
          </w:tcPr>
          <w:p w14:paraId="4EDA7B47"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Vértebras Lombares</w:t>
            </w:r>
          </w:p>
        </w:tc>
        <w:tc>
          <w:tcPr>
            <w:tcW w:w="0" w:type="auto"/>
            <w:vAlign w:val="center"/>
            <w:hideMark/>
          </w:tcPr>
          <w:p w14:paraId="2EB82DAF"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Lumbar Vertebrae</w:t>
            </w:r>
          </w:p>
        </w:tc>
      </w:tr>
      <w:tr w:rsidR="00D67851" w:rsidRPr="00D67851" w14:paraId="50B1B41F" w14:textId="77777777">
        <w:trPr>
          <w:tblCellSpacing w:w="15" w:type="dxa"/>
        </w:trPr>
        <w:tc>
          <w:tcPr>
            <w:tcW w:w="0" w:type="auto"/>
            <w:vAlign w:val="center"/>
            <w:hideMark/>
          </w:tcPr>
          <w:p w14:paraId="7C1AFC89"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Medula Espinal</w:t>
            </w:r>
          </w:p>
        </w:tc>
        <w:tc>
          <w:tcPr>
            <w:tcW w:w="0" w:type="auto"/>
            <w:vAlign w:val="center"/>
            <w:hideMark/>
          </w:tcPr>
          <w:p w14:paraId="32570D9B"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Spinal Cord</w:t>
            </w:r>
          </w:p>
        </w:tc>
      </w:tr>
      <w:tr w:rsidR="00D67851" w:rsidRPr="00D67851" w14:paraId="62AD499E" w14:textId="77777777">
        <w:trPr>
          <w:tblCellSpacing w:w="15" w:type="dxa"/>
        </w:trPr>
        <w:tc>
          <w:tcPr>
            <w:tcW w:w="0" w:type="auto"/>
            <w:vAlign w:val="center"/>
            <w:hideMark/>
          </w:tcPr>
          <w:p w14:paraId="4C57E7AC"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Diafragma</w:t>
            </w:r>
          </w:p>
        </w:tc>
        <w:tc>
          <w:tcPr>
            <w:tcW w:w="0" w:type="auto"/>
            <w:vAlign w:val="center"/>
            <w:hideMark/>
          </w:tcPr>
          <w:p w14:paraId="635F863A"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Diaphragm</w:t>
            </w:r>
          </w:p>
        </w:tc>
      </w:tr>
      <w:tr w:rsidR="00D67851" w:rsidRPr="00D67851" w14:paraId="4B8A3D5E" w14:textId="77777777">
        <w:trPr>
          <w:tblCellSpacing w:w="15" w:type="dxa"/>
        </w:trPr>
        <w:tc>
          <w:tcPr>
            <w:tcW w:w="0" w:type="auto"/>
            <w:vAlign w:val="center"/>
            <w:hideMark/>
          </w:tcPr>
          <w:p w14:paraId="2CEE177A"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Procedimentos Cirúrgicos Operatórios</w:t>
            </w:r>
          </w:p>
        </w:tc>
        <w:tc>
          <w:tcPr>
            <w:tcW w:w="0" w:type="auto"/>
            <w:vAlign w:val="center"/>
            <w:hideMark/>
          </w:tcPr>
          <w:p w14:paraId="45077E6F"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Surgical Procedures, Operative</w:t>
            </w:r>
          </w:p>
        </w:tc>
      </w:tr>
      <w:tr w:rsidR="00D67851" w:rsidRPr="00D67851" w14:paraId="011B4973" w14:textId="77777777">
        <w:trPr>
          <w:tblCellSpacing w:w="15" w:type="dxa"/>
        </w:trPr>
        <w:tc>
          <w:tcPr>
            <w:tcW w:w="0" w:type="auto"/>
            <w:vAlign w:val="center"/>
            <w:hideMark/>
          </w:tcPr>
          <w:p w14:paraId="11611F36"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Complicações Intraoperatórias</w:t>
            </w:r>
          </w:p>
        </w:tc>
        <w:tc>
          <w:tcPr>
            <w:tcW w:w="0" w:type="auto"/>
            <w:vAlign w:val="center"/>
            <w:hideMark/>
          </w:tcPr>
          <w:p w14:paraId="55F708D9"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Intraoperative Complications</w:t>
            </w:r>
          </w:p>
        </w:tc>
      </w:tr>
      <w:tr w:rsidR="00D67851" w:rsidRPr="00D67851" w14:paraId="74B79FF6" w14:textId="77777777">
        <w:trPr>
          <w:tblCellSpacing w:w="15" w:type="dxa"/>
        </w:trPr>
        <w:tc>
          <w:tcPr>
            <w:tcW w:w="0" w:type="auto"/>
            <w:vAlign w:val="center"/>
            <w:hideMark/>
          </w:tcPr>
          <w:p w14:paraId="0EDD6160"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Monitorização Neurofisiológica Intraoperatória</w:t>
            </w:r>
          </w:p>
        </w:tc>
        <w:tc>
          <w:tcPr>
            <w:tcW w:w="0" w:type="auto"/>
            <w:vAlign w:val="center"/>
            <w:hideMark/>
          </w:tcPr>
          <w:p w14:paraId="5DED53E0" w14:textId="77777777" w:rsidR="00D67851" w:rsidRPr="00D67851" w:rsidRDefault="00D67851" w:rsidP="00D67851">
            <w:pPr>
              <w:spacing w:after="0"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Intraoperative Neurophysiological Monitoring</w:t>
            </w:r>
          </w:p>
        </w:tc>
      </w:tr>
    </w:tbl>
    <w:p w14:paraId="438091F5"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nomenclatura de </w:t>
      </w:r>
      <w:r w:rsidRPr="00D67851">
        <w:rPr>
          <w:rFonts w:ascii="Times New Roman" w:eastAsia="Times New Roman" w:hAnsi="Times New Roman" w:cs="Times New Roman"/>
          <w:b/>
          <w:bCs/>
          <w:color w:val="000000"/>
          <w:kern w:val="0"/>
          <w14:ligatures w14:val="none"/>
        </w:rPr>
        <w:t>Coluna Vertebral</w:t>
      </w:r>
      <w:r w:rsidRPr="00D67851">
        <w:rPr>
          <w:rFonts w:ascii="Times New Roman" w:eastAsia="Times New Roman" w:hAnsi="Times New Roman" w:cs="Times New Roman"/>
          <w:color w:val="000000"/>
          <w:kern w:val="0"/>
          <w14:ligatures w14:val="none"/>
        </w:rPr>
        <w:t>, </w:t>
      </w:r>
      <w:r w:rsidRPr="00D67851">
        <w:rPr>
          <w:rFonts w:ascii="Times New Roman" w:eastAsia="Times New Roman" w:hAnsi="Times New Roman" w:cs="Times New Roman"/>
          <w:b/>
          <w:bCs/>
          <w:color w:val="000000"/>
          <w:kern w:val="0"/>
          <w14:ligatures w14:val="none"/>
        </w:rPr>
        <w:t>Vértebras Torácicas</w:t>
      </w:r>
      <w:r w:rsidRPr="00D67851">
        <w:rPr>
          <w:rFonts w:ascii="Times New Roman" w:eastAsia="Times New Roman" w:hAnsi="Times New Roman" w:cs="Times New Roman"/>
          <w:color w:val="000000"/>
          <w:kern w:val="0"/>
          <w14:ligatures w14:val="none"/>
        </w:rPr>
        <w:t> e </w:t>
      </w:r>
      <w:r w:rsidRPr="00D67851">
        <w:rPr>
          <w:rFonts w:ascii="Times New Roman" w:eastAsia="Times New Roman" w:hAnsi="Times New Roman" w:cs="Times New Roman"/>
          <w:b/>
          <w:bCs/>
          <w:color w:val="000000"/>
          <w:kern w:val="0"/>
          <w14:ligatures w14:val="none"/>
        </w:rPr>
        <w:t>Vértebras Lombares</w:t>
      </w:r>
      <w:r w:rsidRPr="00D67851">
        <w:rPr>
          <w:rFonts w:ascii="Times New Roman" w:eastAsia="Times New Roman" w:hAnsi="Times New Roman" w:cs="Times New Roman"/>
          <w:color w:val="000000"/>
          <w:kern w:val="0"/>
          <w14:ligatures w14:val="none"/>
        </w:rPr>
        <w:t> foi confirmada na edição oficial do DeCS/MeSH.</w:t>
      </w:r>
    </w:p>
    <w:p w14:paraId="366C4BEE"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Também foram confirmadas as correspondências para </w:t>
      </w:r>
      <w:r w:rsidRPr="00D67851">
        <w:rPr>
          <w:rFonts w:ascii="Times New Roman" w:eastAsia="Times New Roman" w:hAnsi="Times New Roman" w:cs="Times New Roman"/>
          <w:b/>
          <w:bCs/>
          <w:color w:val="000000"/>
          <w:kern w:val="0"/>
          <w14:ligatures w14:val="none"/>
        </w:rPr>
        <w:t>Medula Espinal</w:t>
      </w:r>
      <w:r w:rsidRPr="00D67851">
        <w:rPr>
          <w:rFonts w:ascii="Times New Roman" w:eastAsia="Times New Roman" w:hAnsi="Times New Roman" w:cs="Times New Roman"/>
          <w:color w:val="000000"/>
          <w:kern w:val="0"/>
          <w14:ligatures w14:val="none"/>
        </w:rPr>
        <w:t>, </w:t>
      </w:r>
      <w:r w:rsidRPr="00D67851">
        <w:rPr>
          <w:rFonts w:ascii="Times New Roman" w:eastAsia="Times New Roman" w:hAnsi="Times New Roman" w:cs="Times New Roman"/>
          <w:b/>
          <w:bCs/>
          <w:color w:val="000000"/>
          <w:kern w:val="0"/>
          <w14:ligatures w14:val="none"/>
        </w:rPr>
        <w:t>Diafragma</w:t>
      </w:r>
      <w:r w:rsidRPr="00D67851">
        <w:rPr>
          <w:rFonts w:ascii="Times New Roman" w:eastAsia="Times New Roman" w:hAnsi="Times New Roman" w:cs="Times New Roman"/>
          <w:color w:val="000000"/>
          <w:kern w:val="0"/>
          <w14:ligatures w14:val="none"/>
        </w:rPr>
        <w:t>, </w:t>
      </w:r>
      <w:r w:rsidRPr="00D67851">
        <w:rPr>
          <w:rFonts w:ascii="Times New Roman" w:eastAsia="Times New Roman" w:hAnsi="Times New Roman" w:cs="Times New Roman"/>
          <w:b/>
          <w:bCs/>
          <w:color w:val="000000"/>
          <w:kern w:val="0"/>
          <w14:ligatures w14:val="none"/>
        </w:rPr>
        <w:t>Procedimentos Cirúrgicos Operatórios</w:t>
      </w:r>
      <w:r w:rsidRPr="00D67851">
        <w:rPr>
          <w:rFonts w:ascii="Times New Roman" w:eastAsia="Times New Roman" w:hAnsi="Times New Roman" w:cs="Times New Roman"/>
          <w:color w:val="000000"/>
          <w:kern w:val="0"/>
          <w14:ligatures w14:val="none"/>
        </w:rPr>
        <w:t>, </w:t>
      </w:r>
      <w:r w:rsidRPr="00D67851">
        <w:rPr>
          <w:rFonts w:ascii="Times New Roman" w:eastAsia="Times New Roman" w:hAnsi="Times New Roman" w:cs="Times New Roman"/>
          <w:b/>
          <w:bCs/>
          <w:color w:val="000000"/>
          <w:kern w:val="0"/>
          <w14:ligatures w14:val="none"/>
        </w:rPr>
        <w:t>Complicações Intraoperatórias</w:t>
      </w:r>
      <w:r w:rsidRPr="00D67851">
        <w:rPr>
          <w:rFonts w:ascii="Times New Roman" w:eastAsia="Times New Roman" w:hAnsi="Times New Roman" w:cs="Times New Roman"/>
          <w:color w:val="000000"/>
          <w:kern w:val="0"/>
          <w14:ligatures w14:val="none"/>
        </w:rPr>
        <w:t> e </w:t>
      </w:r>
      <w:r w:rsidRPr="00D67851">
        <w:rPr>
          <w:rFonts w:ascii="Times New Roman" w:eastAsia="Times New Roman" w:hAnsi="Times New Roman" w:cs="Times New Roman"/>
          <w:b/>
          <w:bCs/>
          <w:color w:val="000000"/>
          <w:kern w:val="0"/>
          <w14:ligatures w14:val="none"/>
        </w:rPr>
        <w:t>Monitorização Neurofisiológica Intraoperatória</w:t>
      </w:r>
      <w:r w:rsidRPr="00D67851">
        <w:rPr>
          <w:rFonts w:ascii="Times New Roman" w:eastAsia="Times New Roman" w:hAnsi="Times New Roman" w:cs="Times New Roman"/>
          <w:color w:val="000000"/>
          <w:kern w:val="0"/>
          <w14:ligatures w14:val="none"/>
        </w:rPr>
        <w:t>.</w:t>
      </w:r>
    </w:p>
    <w:p w14:paraId="73A9C0D3" w14:textId="77777777" w:rsidR="00D67851" w:rsidRPr="00D67851" w:rsidRDefault="00D67851" w:rsidP="00D67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851">
        <w:rPr>
          <w:rFonts w:ascii="Times New Roman" w:eastAsia="Times New Roman" w:hAnsi="Times New Roman" w:cs="Times New Roman"/>
          <w:b/>
          <w:bCs/>
          <w:color w:val="000000"/>
          <w:kern w:val="0"/>
          <w:sz w:val="27"/>
          <w:szCs w:val="27"/>
          <w14:ligatures w14:val="none"/>
        </w:rPr>
        <w:t>Palavras-chave livres adicionais</w:t>
      </w:r>
    </w:p>
    <w:p w14:paraId="525756E9"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lastRenderedPageBreak/>
        <w:t>Junção toracolombar; artéria de Adamkiewicz; abordagem anterolateral; acesso extrapleural; toracofrenolaparotomia; costotransversectomia; cirurgião de acesso.</w:t>
      </w:r>
    </w:p>
    <w:p w14:paraId="7BAE1703"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Essas expressões são apresentadas como palavras-chave livres, e não como descritores controlados.</w:t>
      </w:r>
    </w:p>
    <w:p w14:paraId="60B5BD48"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04A22707">
          <v:rect id="_x0000_i1029" style="width:0;height:1.5pt" o:hralign="center" o:hrstd="t" o:hr="t" fillcolor="#a0a0a0" stroked="f"/>
        </w:pict>
      </w:r>
    </w:p>
    <w:p w14:paraId="372B6247" w14:textId="77777777" w:rsidR="00D67851" w:rsidRPr="00D67851" w:rsidRDefault="00D67851" w:rsidP="00D67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7851">
        <w:rPr>
          <w:rFonts w:ascii="Times New Roman" w:eastAsia="Times New Roman" w:hAnsi="Times New Roman" w:cs="Times New Roman"/>
          <w:b/>
          <w:bCs/>
          <w:color w:val="000000"/>
          <w:kern w:val="36"/>
          <w:sz w:val="48"/>
          <w:szCs w:val="48"/>
          <w14:ligatures w14:val="none"/>
        </w:rPr>
        <w:t>Três cards de destaque</w:t>
      </w:r>
    </w:p>
    <w:p w14:paraId="1665FF95"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Card 1 — Conceito essencial</w:t>
      </w:r>
    </w:p>
    <w:p w14:paraId="620ABD09" w14:textId="77777777" w:rsidR="00D67851" w:rsidRPr="00D67851" w:rsidRDefault="00D67851" w:rsidP="00D67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851">
        <w:rPr>
          <w:rFonts w:ascii="Times New Roman" w:eastAsia="Times New Roman" w:hAnsi="Times New Roman" w:cs="Times New Roman"/>
          <w:b/>
          <w:bCs/>
          <w:color w:val="000000"/>
          <w:kern w:val="0"/>
          <w:sz w:val="27"/>
          <w:szCs w:val="27"/>
          <w14:ligatures w14:val="none"/>
        </w:rPr>
        <w:t>Transição concentra carga e movimento</w:t>
      </w:r>
    </w:p>
    <w:p w14:paraId="5102EE2A"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região combina a rigidez torácica com a mobilidade lombar. Entre T11 e L2, a perda da contenção costal, a mudança da orientação facetária e a inflexão sagital aumentam o movimento e a carga anterior, explicando a concentração de fraturas, colapsos e deformidades em T12–L1.</w:t>
      </w:r>
    </w:p>
    <w:p w14:paraId="7877B0AC"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3A9488DC">
          <v:rect id="_x0000_i1028" style="width:0;height:1.5pt" o:hralign="center" o:hrstd="t" o:hr="t" fillcolor="#a0a0a0" stroked="f"/>
        </w:pict>
      </w:r>
    </w:p>
    <w:p w14:paraId="22C1BA83"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Card 2 — Decisão clínica</w:t>
      </w:r>
    </w:p>
    <w:p w14:paraId="7D1CE903" w14:textId="77777777" w:rsidR="00D67851" w:rsidRPr="00D67851" w:rsidRDefault="00D67851" w:rsidP="00D67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851">
        <w:rPr>
          <w:rFonts w:ascii="Times New Roman" w:eastAsia="Times New Roman" w:hAnsi="Times New Roman" w:cs="Times New Roman"/>
          <w:b/>
          <w:bCs/>
          <w:color w:val="000000"/>
          <w:kern w:val="0"/>
          <w:sz w:val="27"/>
          <w:szCs w:val="27"/>
          <w14:ligatures w14:val="none"/>
        </w:rPr>
        <w:t>Escolha a via pelo alvo</w:t>
      </w:r>
    </w:p>
    <w:p w14:paraId="5924057C"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 via deve seguir o plano predominante da doença. A abordagem posterior favorece descompressão, instrumentação e controle multissegmentar; a anterolateral oferece acesso direto ao corpo vertebral. Lateralidade, anatomia vascular, condição pulmonar e operações prévias precisam ser definidas antes do posicionamento.</w:t>
      </w:r>
    </w:p>
    <w:p w14:paraId="55F34761"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12CA0E08">
          <v:rect id="_x0000_i1027" style="width:0;height:1.5pt" o:hralign="center" o:hrstd="t" o:hr="t" fillcolor="#a0a0a0" stroked="f"/>
        </w:pict>
      </w:r>
    </w:p>
    <w:p w14:paraId="71062C34" w14:textId="77777777" w:rsidR="00D67851" w:rsidRPr="00D67851" w:rsidRDefault="00D67851" w:rsidP="00D6785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7851">
        <w:rPr>
          <w:rFonts w:ascii="Times New Roman" w:eastAsia="Times New Roman" w:hAnsi="Times New Roman" w:cs="Times New Roman"/>
          <w:b/>
          <w:bCs/>
          <w:color w:val="000000"/>
          <w:kern w:val="0"/>
          <w:sz w:val="36"/>
          <w:szCs w:val="36"/>
          <w14:ligatures w14:val="none"/>
        </w:rPr>
        <w:t>Card 3 — Pérola ou alerta</w:t>
      </w:r>
    </w:p>
    <w:p w14:paraId="14DAAA2C" w14:textId="77777777" w:rsidR="00D67851" w:rsidRPr="00D67851" w:rsidRDefault="00D67851" w:rsidP="00D6785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67851">
        <w:rPr>
          <w:rFonts w:ascii="Times New Roman" w:eastAsia="Times New Roman" w:hAnsi="Times New Roman" w:cs="Times New Roman"/>
          <w:b/>
          <w:bCs/>
          <w:color w:val="000000"/>
          <w:kern w:val="0"/>
          <w:sz w:val="27"/>
          <w:szCs w:val="27"/>
          <w14:ligatures w14:val="none"/>
        </w:rPr>
        <w:t>Confirme o nível após posicionar</w:t>
      </w:r>
    </w:p>
    <w:p w14:paraId="23BF2763"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Não confie apenas em referências cutâneas. A obliquidade das costelas e a mudança de posição entre pele e coluna podem deslocar o nível exposto. Marque o alvo sob fluoroscopia com o paciente já posicionado e mantenha monitorização neurofisiológica nos procedimentos de maior risco.</w:t>
      </w:r>
    </w:p>
    <w:p w14:paraId="7756CCCA"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4CD136D0">
          <v:rect id="_x0000_i1026" style="width:0;height:1.5pt" o:hralign="center" o:hrstd="t" o:hr="t" fillcolor="#a0a0a0" stroked="f"/>
        </w:pict>
      </w:r>
    </w:p>
    <w:p w14:paraId="57FB5AB1" w14:textId="77777777" w:rsidR="00D67851" w:rsidRPr="00D67851" w:rsidRDefault="00D67851" w:rsidP="00D67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7851">
        <w:rPr>
          <w:rFonts w:ascii="Times New Roman" w:eastAsia="Times New Roman" w:hAnsi="Times New Roman" w:cs="Times New Roman"/>
          <w:b/>
          <w:bCs/>
          <w:color w:val="000000"/>
          <w:kern w:val="36"/>
          <w:sz w:val="48"/>
          <w:szCs w:val="48"/>
          <w14:ligatures w14:val="none"/>
        </w:rPr>
        <w:lastRenderedPageBreak/>
        <w:t>Referências bibliográficas</w:t>
      </w:r>
    </w:p>
    <w:p w14:paraId="1CDEBB94"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Gotecha S, Punia P, Ranade D, Patil A, Chugh A, Kotecha M. Anterior approach to the thoracic and thoracolumbar spine: a prospective study in our hospital. Egypt Spine J. 2020;34(1):36-47. doi:10.21608/esj.2020.24832.1125.</w:t>
      </w:r>
    </w:p>
    <w:p w14:paraId="27CEEAC5"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Moreira CHT, Krause Neto W, Meves R. Thoracolumbar burst fractures: short fixation, without arthrodesis and without removal of the implant. Acta Ortop Bras. 2023 Apr 17;31(spe 1):e253655. doi:10.1590/1413785220233101e253655.</w:t>
      </w:r>
    </w:p>
    <w:p w14:paraId="48113E6A"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Capener N. The evolution of lateral rhachotomy. J Bone Joint Surg Br. 1954 May;36B(2):173-9. doi:10.1302/0301620X.36B2.173.</w:t>
      </w:r>
    </w:p>
    <w:p w14:paraId="589440D9"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Matur AV, MejiaMunne JC, Plummer ZJ, Cheng JS, Prestigiacomo CJ. The history of anterior and lateral approaches to the lumbar spine. World Neurosurg. 2020 Dec;144:213-21. doi:10.1016/j.wneu.2020.09.083.</w:t>
      </w:r>
    </w:p>
    <w:p w14:paraId="4A88A497"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Hodgson AR, Stock FE. Anterior spinal fusion: a preliminary communication on the radical treatment of Pott’s disease and Pott’s paraplegia. Br J Surg. 1956 Nov;44(185):266-75. doi:10.1002/bjs.18004418508.</w:t>
      </w:r>
    </w:p>
    <w:p w14:paraId="771F13F0"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Gilroy AM, MacPherson BR. Atlas de anatomia. 3. ed. Rio de Janeiro: Guanabara Koogan; 2017.</w:t>
      </w:r>
    </w:p>
    <w:p w14:paraId="7E4CCB48"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Sobotta J, Becher H, eds. Atlas de anatomia humana. Músculos. 17. ed. Rio de Janeiro: Guanabara Koogan; 1977. p. 142-9.</w:t>
      </w:r>
    </w:p>
    <w:p w14:paraId="631F74FA"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Albert JT, Berta CS, Grossman E. Surgical approaches to the posterior thoracic spine. In: Herkowitz HN, Garfin SR, Eismont FJ, Bell GR, Balderston RA, eds. RothmanSimeone The Spine. Philadelphia: Saunders; 2006. p. 308-19.</w:t>
      </w:r>
    </w:p>
    <w:p w14:paraId="48D78358"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Koshino T, Murakami G, Sato TJ, Tsugane MH, Fujisawa Y, Mawatari T, et al. Configurations of the segmental and subsegmental bronchi and arteries in the right upper lobe of the human lung with special reference to their concomitant relations and double subsegmental arterial supply. Anat Sci Int. 2002 Mar;77(1):64-73. doi:10.1046/j.00227722.2002.00010.x.</w:t>
      </w:r>
    </w:p>
    <w:p w14:paraId="0ED6AFB9"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Taterra D, Skinningsrud B, Pekala PA, Hsieh WC, Cirocchi R, Walocha JA, et al. Artery of Adamkiewicz: a meta-analysis of anatomical characteristics. Neuroradiology. 2019;61(8):869-80. doi:10.1007/s00234-019-02207-y.</w:t>
      </w:r>
    </w:p>
    <w:p w14:paraId="5D1FFD22"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Piola FPF, Nogueira-Barbosa MH, Maranho DAC, Martins AA, Barbosa MF, Silva Herrero CFP. Identification of the artery of Adamkiewicz using multidetector computed tomography angiography. Rev Bras Ortop. 2020;55(1):70-4. doi:10.1055/s-0039-1700829.</w:t>
      </w:r>
    </w:p>
    <w:p w14:paraId="2F3EF2A5"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Xu DS, Walker CT, Farber SH, Godzik J, Gandhi SV, Koffie RM, et al. Surgical anatomy of minimally invasive lateral approaches to the thoracolumbar junction. J Neurosurg Spine. 2021 Dec 31;36(6):937-44. doi:10.3171/2021.10.SPINE21793.</w:t>
      </w:r>
    </w:p>
    <w:p w14:paraId="1CEF6FFF"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Light RW. Doenças da pleura. 3. ed. Rio de Janeiro: Revinter; 2020. capítulo 1.480 p.</w:t>
      </w:r>
    </w:p>
    <w:p w14:paraId="28A84B20"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Podet AG, Morrow KD, Robichaux JM, Shields JA, DiGiorgio AM, Tender GC. Minimally invasive lateral corpectomy for thoracolumbar traumatic burst fractures. Neurosurg Focus. 2020 Sep;49(3):E12. doi:10.3171/2020.6.FOCUS20366.</w:t>
      </w:r>
    </w:p>
    <w:p w14:paraId="5B56DB06"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Lee EW, Shin JH, Ko HK, Park J, Kim SH, Sung KB. Lymphangiography to treat postoperative lymphatic leakage: a technical review. Korean J Radiol. 2014;15(6):724-32. doi:10.3348/kjr.2014.15.6.724.</w:t>
      </w:r>
    </w:p>
    <w:p w14:paraId="2E1D4B33"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lastRenderedPageBreak/>
        <w:t>Han SJ, Lau D, Lu DC, Theodore P, Chou D. Anterior thoracolumbar corpectomies: approach morbidity with and without an access surgeon. Neurosurgery. 2011 May;68(5):1220-5; discussion 1225-6. doi:10.1227/NEU.0b013e31820eb287.</w:t>
      </w:r>
    </w:p>
    <w:p w14:paraId="34DAAB16"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Hsu HT, Teng MS, Yang SS, Huang KF, Wen CS, Li TC, et al. Anterior approach for surgery of thoracolumbar spine: surgical outcomes of one selftrained neurosurgeon. Formosan J Surg. 2013;46(5):157-65. doi:10.1016/j.fjs.2013.06.004.</w:t>
      </w:r>
    </w:p>
    <w:p w14:paraId="43E23060"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Lindeire S, Hauser JM. In: StatPearls [Internet]. Treasure Island (FL): StatPearls Publishing; 2025 Jan–. PMID:30422566.</w:t>
      </w:r>
    </w:p>
    <w:p w14:paraId="5766B45B" w14:textId="77777777" w:rsidR="00D67851" w:rsidRPr="00D67851" w:rsidRDefault="00D67851" w:rsidP="00D6785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color w:val="000000"/>
          <w:kern w:val="0"/>
          <w14:ligatures w14:val="none"/>
        </w:rPr>
        <w:t>Sato K, Kotani T, Sakuma T, Iijima Y, Asada T, Akazawa T, et al. Prevalence of pleural injury in an extrapleural approach to adolescent idiopathic scoliosis and association of pleural injury with postoperative respiratory function. J Orthop Sci. 2024 Jan;29(1):71-7. doi:10.1016/j.jos.2022.11.009.</w:t>
      </w:r>
    </w:p>
    <w:p w14:paraId="40E31698" w14:textId="77777777" w:rsidR="00D67851" w:rsidRPr="00D67851" w:rsidRDefault="00C844DD" w:rsidP="00D67851">
      <w:pPr>
        <w:spacing w:after="0" w:line="240" w:lineRule="auto"/>
        <w:rPr>
          <w:rFonts w:ascii="Times New Roman" w:eastAsia="Times New Roman" w:hAnsi="Times New Roman" w:cs="Times New Roman"/>
          <w:kern w:val="0"/>
          <w14:ligatures w14:val="none"/>
        </w:rPr>
      </w:pPr>
      <w:r w:rsidRPr="00C844DD">
        <w:rPr>
          <w:rFonts w:ascii="Times New Roman" w:eastAsia="Times New Roman" w:hAnsi="Times New Roman" w:cs="Times New Roman"/>
          <w:noProof/>
          <w:kern w:val="0"/>
        </w:rPr>
        <w:pict w14:anchorId="20779EFC">
          <v:rect id="_x0000_i1025" style="width:0;height:1.5pt" o:hralign="center" o:hrstd="t" o:hr="t" fillcolor="#a0a0a0" stroked="f"/>
        </w:pict>
      </w:r>
    </w:p>
    <w:p w14:paraId="62E698C3" w14:textId="77777777" w:rsidR="00D67851" w:rsidRPr="00D67851" w:rsidRDefault="00D67851" w:rsidP="00D6785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7851">
        <w:rPr>
          <w:rFonts w:ascii="Times New Roman" w:eastAsia="Times New Roman" w:hAnsi="Times New Roman" w:cs="Times New Roman"/>
          <w:b/>
          <w:bCs/>
          <w:color w:val="000000"/>
          <w:kern w:val="36"/>
          <w:sz w:val="48"/>
          <w:szCs w:val="48"/>
          <w14:ligatures w14:val="none"/>
        </w:rPr>
        <w:t>Metadados para publicação</w:t>
      </w:r>
    </w:p>
    <w:p w14:paraId="437F5EFC"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Título SEO:</w:t>
      </w:r>
      <w:r w:rsidRPr="00D67851">
        <w:rPr>
          <w:rFonts w:ascii="Times New Roman" w:eastAsia="Times New Roman" w:hAnsi="Times New Roman" w:cs="Times New Roman"/>
          <w:color w:val="000000"/>
          <w:kern w:val="0"/>
          <w14:ligatures w14:val="none"/>
        </w:rPr>
        <w:t> Anatomia e abordagens da junção toracolombar</w:t>
      </w:r>
    </w:p>
    <w:p w14:paraId="086BC3D7"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Meta descrição:</w:t>
      </w:r>
      <w:r w:rsidRPr="00D67851">
        <w:rPr>
          <w:rFonts w:ascii="Times New Roman" w:eastAsia="Times New Roman" w:hAnsi="Times New Roman" w:cs="Times New Roman"/>
          <w:color w:val="000000"/>
          <w:kern w:val="0"/>
          <w14:ligatures w14:val="none"/>
        </w:rPr>
        <w:t> Entenda a anatomia da junção toracolombar, as vias posterior e anterolateral e os cuidados vasculares, pleurais, pulmonares e diafragmáticos.</w:t>
      </w:r>
    </w:p>
    <w:p w14:paraId="2944BDDD"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Resumo de chamada:</w:t>
      </w:r>
      <w:r w:rsidRPr="00D67851">
        <w:rPr>
          <w:rFonts w:ascii="Times New Roman" w:eastAsia="Times New Roman" w:hAnsi="Times New Roman" w:cs="Times New Roman"/>
          <w:color w:val="000000"/>
          <w:kern w:val="0"/>
          <w14:ligatures w14:val="none"/>
        </w:rPr>
        <w:t> Síntese da anatomia, biomecânica, planejamento e execução das abordagens posterior e anterolateral da junção toracolombar, com ênfase na prevenção de complicações.</w:t>
      </w:r>
    </w:p>
    <w:p w14:paraId="4D3487F3" w14:textId="77777777" w:rsidR="00D67851" w:rsidRPr="00D67851" w:rsidRDefault="00D67851" w:rsidP="00D67851">
      <w:pPr>
        <w:spacing w:before="100" w:beforeAutospacing="1" w:after="100" w:afterAutospacing="1" w:line="240" w:lineRule="auto"/>
        <w:rPr>
          <w:rFonts w:ascii="Times New Roman" w:eastAsia="Times New Roman" w:hAnsi="Times New Roman" w:cs="Times New Roman"/>
          <w:color w:val="000000"/>
          <w:kern w:val="0"/>
          <w14:ligatures w14:val="none"/>
        </w:rPr>
      </w:pPr>
      <w:r w:rsidRPr="00D67851">
        <w:rPr>
          <w:rFonts w:ascii="Times New Roman" w:eastAsia="Times New Roman" w:hAnsi="Times New Roman" w:cs="Times New Roman"/>
          <w:b/>
          <w:bCs/>
          <w:color w:val="000000"/>
          <w:kern w:val="0"/>
          <w14:ligatures w14:val="none"/>
        </w:rPr>
        <w:t>Sugestão de slug:</w:t>
      </w:r>
      <w:r w:rsidRPr="00D67851">
        <w:rPr>
          <w:rFonts w:ascii="Times New Roman" w:eastAsia="Times New Roman" w:hAnsi="Times New Roman" w:cs="Times New Roman"/>
          <w:color w:val="000000"/>
          <w:kern w:val="0"/>
          <w14:ligatures w14:val="none"/>
        </w:rPr>
        <w:t> </w:t>
      </w:r>
      <w:r w:rsidRPr="00D67851">
        <w:rPr>
          <w:rFonts w:ascii="Courier New" w:eastAsia="Times New Roman" w:hAnsi="Courier New" w:cs="Courier New"/>
          <w:color w:val="000000"/>
          <w:kern w:val="0"/>
          <w:sz w:val="20"/>
          <w:szCs w:val="20"/>
          <w14:ligatures w14:val="none"/>
        </w:rPr>
        <w:t>anatomia-abordagens-juncao-toracolombar</w:t>
      </w:r>
    </w:p>
    <w:p w14:paraId="319A6BCC" w14:textId="77777777" w:rsidR="00D67851" w:rsidRDefault="00D67851"/>
    <w:sectPr w:rsidR="00D678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F8254E"/>
    <w:multiLevelType w:val="multilevel"/>
    <w:tmpl w:val="97C0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BE395F"/>
    <w:multiLevelType w:val="multilevel"/>
    <w:tmpl w:val="3C5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65093"/>
    <w:multiLevelType w:val="multilevel"/>
    <w:tmpl w:val="C4B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88092">
    <w:abstractNumId w:val="1"/>
  </w:num>
  <w:num w:numId="2" w16cid:durableId="875235387">
    <w:abstractNumId w:val="0"/>
  </w:num>
  <w:num w:numId="3" w16cid:durableId="186551452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51"/>
    <w:rsid w:val="006F6E99"/>
    <w:rsid w:val="00C844DD"/>
    <w:rsid w:val="00D6785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7876"/>
  <w15:chartTrackingRefBased/>
  <w15:docId w15:val="{2AF83002-097A-4748-870C-DB057FC2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7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7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7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851"/>
    <w:rPr>
      <w:rFonts w:eastAsiaTheme="majorEastAsia" w:cstheme="majorBidi"/>
      <w:color w:val="272727" w:themeColor="text1" w:themeTint="D8"/>
    </w:rPr>
  </w:style>
  <w:style w:type="paragraph" w:styleId="Title">
    <w:name w:val="Title"/>
    <w:basedOn w:val="Normal"/>
    <w:next w:val="Normal"/>
    <w:link w:val="TitleChar"/>
    <w:uiPriority w:val="10"/>
    <w:qFormat/>
    <w:rsid w:val="00D6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851"/>
    <w:pPr>
      <w:spacing w:before="160"/>
      <w:jc w:val="center"/>
    </w:pPr>
    <w:rPr>
      <w:i/>
      <w:iCs/>
      <w:color w:val="404040" w:themeColor="text1" w:themeTint="BF"/>
    </w:rPr>
  </w:style>
  <w:style w:type="character" w:customStyle="1" w:styleId="QuoteChar">
    <w:name w:val="Quote Char"/>
    <w:basedOn w:val="DefaultParagraphFont"/>
    <w:link w:val="Quote"/>
    <w:uiPriority w:val="29"/>
    <w:rsid w:val="00D67851"/>
    <w:rPr>
      <w:i/>
      <w:iCs/>
      <w:color w:val="404040" w:themeColor="text1" w:themeTint="BF"/>
    </w:rPr>
  </w:style>
  <w:style w:type="paragraph" w:styleId="ListParagraph">
    <w:name w:val="List Paragraph"/>
    <w:basedOn w:val="Normal"/>
    <w:uiPriority w:val="34"/>
    <w:qFormat/>
    <w:rsid w:val="00D67851"/>
    <w:pPr>
      <w:ind w:left="720"/>
      <w:contextualSpacing/>
    </w:pPr>
  </w:style>
  <w:style w:type="character" w:styleId="IntenseEmphasis">
    <w:name w:val="Intense Emphasis"/>
    <w:basedOn w:val="DefaultParagraphFont"/>
    <w:uiPriority w:val="21"/>
    <w:qFormat/>
    <w:rsid w:val="00D67851"/>
    <w:rPr>
      <w:i/>
      <w:iCs/>
      <w:color w:val="0F4761" w:themeColor="accent1" w:themeShade="BF"/>
    </w:rPr>
  </w:style>
  <w:style w:type="paragraph" w:styleId="IntenseQuote">
    <w:name w:val="Intense Quote"/>
    <w:basedOn w:val="Normal"/>
    <w:next w:val="Normal"/>
    <w:link w:val="IntenseQuoteChar"/>
    <w:uiPriority w:val="30"/>
    <w:qFormat/>
    <w:rsid w:val="00D6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851"/>
    <w:rPr>
      <w:i/>
      <w:iCs/>
      <w:color w:val="0F4761" w:themeColor="accent1" w:themeShade="BF"/>
    </w:rPr>
  </w:style>
  <w:style w:type="character" w:styleId="IntenseReference">
    <w:name w:val="Intense Reference"/>
    <w:basedOn w:val="DefaultParagraphFont"/>
    <w:uiPriority w:val="32"/>
    <w:qFormat/>
    <w:rsid w:val="00D67851"/>
    <w:rPr>
      <w:b/>
      <w:bCs/>
      <w:smallCaps/>
      <w:color w:val="0F4761" w:themeColor="accent1" w:themeShade="BF"/>
      <w:spacing w:val="5"/>
    </w:rPr>
  </w:style>
  <w:style w:type="paragraph" w:styleId="NormalWeb">
    <w:name w:val="Normal (Web)"/>
    <w:basedOn w:val="Normal"/>
    <w:uiPriority w:val="99"/>
    <w:semiHidden/>
    <w:unhideWhenUsed/>
    <w:rsid w:val="00D678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7851"/>
    <w:rPr>
      <w:b/>
      <w:bCs/>
    </w:rPr>
  </w:style>
  <w:style w:type="character" w:customStyle="1" w:styleId="apple-converted-space">
    <w:name w:val="apple-converted-space"/>
    <w:basedOn w:val="DefaultParagraphFont"/>
    <w:rsid w:val="00D67851"/>
  </w:style>
  <w:style w:type="character" w:styleId="Emphasis">
    <w:name w:val="Emphasis"/>
    <w:basedOn w:val="DefaultParagraphFont"/>
    <w:uiPriority w:val="20"/>
    <w:qFormat/>
    <w:rsid w:val="00D67851"/>
    <w:rPr>
      <w:i/>
      <w:iCs/>
    </w:rPr>
  </w:style>
  <w:style w:type="character" w:styleId="HTMLCode">
    <w:name w:val="HTML Code"/>
    <w:basedOn w:val="DefaultParagraphFont"/>
    <w:uiPriority w:val="99"/>
    <w:semiHidden/>
    <w:unhideWhenUsed/>
    <w:rsid w:val="00D678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1983</Words>
  <Characters>12460</Characters>
  <Application>Microsoft Office Word</Application>
  <DocSecurity>0</DocSecurity>
  <Lines>235</Lines>
  <Paragraphs>107</Paragraphs>
  <ScaleCrop>false</ScaleCrop>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2026-08-18T19:09:00Z</dcterms:created>
  <dcterms:modified xsi:type="dcterms:W3CDTF">2026-08-18T19:10:00Z</dcterms:modified>
</cp:coreProperties>
</file>