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D49F69" w14:textId="77777777" w:rsidR="00351065" w:rsidRDefault="00351065" w:rsidP="0035106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74F6A" w:themeColor="accent4" w:themeShade="80"/>
          <w:kern w:val="0"/>
          <w:sz w:val="19"/>
          <w:szCs w:val="19"/>
          <w:lang w:val="pt-BR"/>
          <w14:ligatures w14:val="none"/>
        </w:rPr>
      </w:pPr>
    </w:p>
    <w:p w14:paraId="0ED7B5BE" w14:textId="77777777" w:rsidR="00351065" w:rsidRDefault="00351065" w:rsidP="0035106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74F6A" w:themeColor="accent4" w:themeShade="80"/>
          <w:kern w:val="0"/>
          <w:sz w:val="19"/>
          <w:szCs w:val="19"/>
          <w:lang w:val="pt-BR"/>
          <w14:ligatures w14:val="none"/>
        </w:rPr>
      </w:pPr>
    </w:p>
    <w:p w14:paraId="5E81737C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Capítulo 7 — Anatomia Cirúrgica e Vias de Acesso da Coluna Lombar e Lombossacra</w:t>
      </w:r>
    </w:p>
    <w:p w14:paraId="27383E48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Identificação</w:t>
      </w:r>
    </w:p>
    <w:p w14:paraId="33BA08A7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Número do capítulo: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</w:t>
      </w:r>
    </w:p>
    <w:p w14:paraId="02EAC6DD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completo: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Anatomia Cirúrgica e Vias de Acesso da Coluna Lombar e Lombossacra</w:t>
      </w:r>
    </w:p>
    <w:p w14:paraId="03DBB7BF" w14:textId="0B97E54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Seção do Tratado: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24DB5B" w14:textId="19F56245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Autores: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3FFE8AD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00A525F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B8E1700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Contexto</w:t>
      </w:r>
    </w:p>
    <w:p w14:paraId="45155941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acessos à coluna lombar e lombossacra devem conciliar exposição adequada, preservação das estruturas neurovasculares e restauração da estabilidade e do alinhamento. A escolha entre vias anterior, anterolateral e posterior varia conforme a doença, o nível vertebral e o objetivo terapêutico, que pode incluir artrodese intersomática, descompressão, correção de deformidade ou tratamento de infecções e tumores. Os segmentos L4–L5 e L5–S1 recebem atenção especial por sua relevância na degeneração discal e no equilíbrio sagital. Nas abordagens anteriores e laterais, o corredor atravessa a parede abdominal e o retroperitônio, onde ureter, plexo lombar, cadeia simpática, plexos hipogástricos, grandes vasos e tributárias venosas podem estar diretamente expostos. As técnicas minimamente invasivas reduzem a agressão da parede e da musculatura, mas deslocam o risco para corredores anatômicos estreitos. Por isso, o capítulo enfatiza planejamento por imagem, dissecção por planos e seleção individualizada da trajetória.</w:t>
      </w:r>
    </w:p>
    <w:p w14:paraId="5F0DEF00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60C426B4">
          <v:rect id="_x0000_i1036" style="width:0;height:1.5pt" o:hralign="center" o:hrstd="t" o:hr="t" fillcolor="#a0a0a0" stroked="f"/>
        </w:pict>
      </w:r>
    </w:p>
    <w:p w14:paraId="3496AB6B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Objetivo do capítulo</w:t>
      </w:r>
    </w:p>
    <w:p w14:paraId="133AE83D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Apresentar a anatomia cirúrgica da parede abdominal, do retroperitônio e das estruturas neurovasculares relacionadas aos acessos lombares e lombossacrais. O leitor deverá compreender as diferenças entre as vias anterior, posterior, transpsoas e anterior ao psoas, reconhecer seus limites por nível, planejar o corredor com exames de imagem e identificar medidas de prevenção das principais complicações vasculares, neurais, autonômicas, ureterais e da parede abdominal.</w:t>
      </w:r>
    </w:p>
    <w:p w14:paraId="55EC20C2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15CBE2F">
          <v:rect id="_x0000_i1035" style="width:0;height:1.5pt" o:hralign="center" o:hrstd="t" o:hr="t" fillcolor="#a0a0a0" stroked="f"/>
        </w:pict>
      </w:r>
    </w:p>
    <w:p w14:paraId="5EB19FF2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Conteúdo principal</w:t>
      </w:r>
    </w:p>
    <w:p w14:paraId="5F51EF36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Parede abdominal e corredor retroperitoneal</w:t>
      </w:r>
    </w:p>
    <w:p w14:paraId="6552E4D3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parede anterolateral é formada por pele, fáscias de Camper e Scarpa, músculos oblíquo externo, oblíquo interno, transverso do abdome e reto abdominal, suas aponeuroses, fáscia transversalis e peritônio. Incisões paralelas às linhas de Langer e divulsão no sentido das fibras procuram reduzir cicatriz, dor, denervação e hérnia. Os vasos epigástricos inferiores e os nervos subcostal, ilio-hipogástrico e ilioinguinal devem ser preservados. A Figura 7 do capítulo relaciona esses nervos aos níveis de entrada pela parede lateral.</w:t>
      </w:r>
    </w:p>
    <w:p w14:paraId="3821564F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retroperitônio situa-se entre o peritônio parietal e a fáscia transversalis. Após dissecção romba, o saco peritoneal e o ureter são mobilizados medialmente, e o psoas torna-se o principal marco para alcançar a coluna. O ureter acompanha o peritônio; sua dissecção excessiva pode comprometer a vascularização.</w:t>
      </w:r>
    </w:p>
    <w:p w14:paraId="71F8DE80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Estruturas neurovasculares críticas</w:t>
      </w:r>
    </w:p>
    <w:p w14:paraId="737CD17A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aorta localiza-se à esquerda da linha média e a veia cava inferior, à direita, com variações individuais. Em L4–L5, a veia iliolombar pode limitar a mobilização da veia ilíaca comum; a veia lombar ascendente e os vasos segmentares também podem causar hemorragia de difícil controle. O nervo genitofemoral atravessa o psoas e pode ser lesado tanto no corredor transpsoas quanto no pré-psoas. Cadeia simpática e plexos hipogástricos devem ser mobilizados delicadamente, evitando eletrocoagulação próxima ao promontório e à face anterolateral dos corpos vertebrais.</w:t>
      </w:r>
    </w:p>
    <w:p w14:paraId="167D34A0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Escolha entre as vias</w:t>
      </w:r>
    </w:p>
    <w:p w14:paraId="5C58A8FA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Tabela 1 compara os acessos anterior transperitoneal e retroperitoneal, anterolateral minimamente invasivo, lombotomia, via posterior mediana, via paramediana de Wiltse e técnicas percutâneas. A via posterior oferece acesso direto aos elementos posteriores para laminectomia, discectomia, artrodese intersomática lombar posterior — </w:t>
      </w:r>
      <w:r w:rsidRPr="00806CA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posterior lumbar interbody fusion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(PLIF) —, artrodese intersomática lombar transforaminal — </w:t>
      </w:r>
      <w:r w:rsidRPr="00806CA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transforaminal lumbar interbody fusion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(TLIF) — e fixação pedicular, com maior agressão muscular nas exposições convencionais. O acesso anterior oferece exposição direta dos discos, sobretudo em L5–S1, e o retroperitoneal evita a abertura planejada da cavidade peritoneal.</w:t>
      </w:r>
    </w:p>
    <w:p w14:paraId="50576A44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Acessos anterior e anterolateral</w:t>
      </w:r>
    </w:p>
    <w:p w14:paraId="44949EAD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 acesso retroperitoneal anterior, o capítulo prefere o lado esquerdo para L2–L5 e descreve a exposição de L5–S1 abaixo da bifurcação aórtica. Após mobilização dos vasos e proteção do 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plexo hipogástrico, realiza-se anulotomia, discectomia ampla e preparo das placas terminais. Os autores aconselham a liberação ou abertura do ligamento longitudinal posterior para facilitar a correção e a restauração da altura discal.</w:t>
      </w:r>
    </w:p>
    <w:p w14:paraId="149822E0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 acessos laterais utilizam corredor transpsoas ou anterior ao psoas. As Figuras 22 e 23 contrastam esses trajetos: o psoas protege os grandes vasos no transpsoas, mas contém o plexo lombar; no pré-psoas, protege relativamente o plexo, enquanto vasos, ureter e cadeia simpática ficam mais expostos. O transpsoas requer monitorização neurofisiológica intraoperatória. Em L1–L2, o diafragma e os vasos renais podem limitar a exposição; em L4–L5, aumentam os desafios neurais e venosos; L5–S1 exige um corredor anterior específico, descrito como artrodese intersomática lombar anterior minimamente invasiva — </w:t>
      </w:r>
      <w:r w:rsidRPr="00806CA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minimally invasive anterior lumbar interbody fusion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(MIS-ALIF). Em todas as técnicas, a posição do espaçador intersomático, ou </w:t>
      </w:r>
      <w:r w:rsidRPr="00806CA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cage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preservação das placas terminais, o tempo de afastamento e a hemostasia condicionam a segurança e a estabilidade.</w:t>
      </w:r>
    </w:p>
    <w:p w14:paraId="2B7E9E8D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5E7E7C51">
          <v:rect id="_x0000_i1034" style="width:0;height:1.5pt" o:hralign="center" o:hrstd="t" o:hr="t" fillcolor="#a0a0a0" stroked="f"/>
        </w:pict>
      </w:r>
    </w:p>
    <w:p w14:paraId="33956363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Aplicação clínica</w:t>
      </w:r>
    </w:p>
    <w:p w14:paraId="0512907B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 prática, o planejamento deve começar pelos níveis e pelo objetivo do procedimento. O capítulo situa L1–L5 como campo das abordagens laterais e destaca L5–S1 para o acesso anterior retroperitoneal ou para a variante minimamente invasiva anterior. A ressonância magnética nos planos axial e sagital e as radiografias anteroposterior e lateral devem ser utilizadas para avaliar o corredor vascular, a posição e o volume do psoas, a crista ilíaca, as costelas inferiores, a deformidade e alterações relacionadas a operações abdominais prévias.</w:t>
      </w:r>
    </w:p>
    <w:p w14:paraId="343D650C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escolha entre transpsoas e anterior ao psoas representa uma troca de riscos. No transpsoas, os grandes vasos permanecem protegidos pela massa muscular, mas o plexo lombar e o nervo genitofemoral ficam mais vulneráveis; por isso, o capítulo indica monitorização neurofisiológica e limita o tempo de afastamento. No pré-psoas, o plexo está relativamente protegido, porém ureter, cadeia simpática, vasos segmentares e veias iliolombar e lombar ascendente exigem identificação e controle.</w:t>
      </w:r>
    </w:p>
    <w:p w14:paraId="325A5733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 L4–L5, a mobilização da veia ilíaca pode requerer controle da veia iliolombar. Em L5–S1, devem ser preservados o plexo hipogástrico e as estruturas pré-sacrais, evitando eletrocoagulação próxima ao promontório. Independentemente da via, a discectomia deve preservar o córtex das placas terminais, a linha média deve ser confirmada por fluoroscopia e a retração muscular ou vascular deve durar apenas o necessário. A via posterior continua relevante quando o alvo predominante é neural ou posterior.</w:t>
      </w:r>
    </w:p>
    <w:p w14:paraId="4ED01133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308F4EA3">
          <v:rect id="_x0000_i1033" style="width:0;height:1.5pt" o:hralign="center" o:hrstd="t" o:hr="t" fillcolor="#a0a0a0" stroked="f"/>
        </w:pict>
      </w:r>
    </w:p>
    <w:p w14:paraId="1F30AAEB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Mensagem central</w:t>
      </w:r>
    </w:p>
    <w:p w14:paraId="2919C799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segurança dos acessos lombares e lombossacrais depende da escolha de um corredor compatível com o nível, o alvo e a anatomia individual. Parede abdominal, psoas, ureter, plexos neurais e autonômicos e vasos retroperitoneais formam limites que mudam entre L1 e S1. O planejamento por imagem, a dissecção por planos, o controle vascular e a redução do tempo de retração são tão importantes quanto a técnica de artrodese propriamente dita.</w:t>
      </w:r>
    </w:p>
    <w:p w14:paraId="5D0B0455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53193E70">
          <v:rect id="_x0000_i1032" style="width:0;height:1.5pt" o:hralign="center" o:hrstd="t" o:hr="t" fillcolor="#a0a0a0" stroked="f"/>
        </w:pict>
      </w:r>
    </w:p>
    <w:p w14:paraId="0AB22339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Por que este capítulo importa</w:t>
      </w:r>
    </w:p>
    <w:p w14:paraId="6EFDFC39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abordagem define quais estruturas serão protegidas e quais ficarão diretamente expostas. O transpsoas reduz o contato com os grandes vasos, mas atravessa o território do plexo lombar; o corredor anterior ao psoas diminui a agressão neural direta, porém aumenta a proximidade com ureter, cadeia simpática e vasos. Em L4–L5 e L5–S1, pequenas diferenças anatômicas podem alterar completamente a segurança da exposição. O capítulo transforma esse mapa anatômico em decisões práticas de posicionamento, incisão, dissecção, retração e implantação do espaçador intersomático.</w:t>
      </w:r>
    </w:p>
    <w:p w14:paraId="20C21197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7F9A1083">
          <v:rect id="_x0000_i1031" style="width:0;height:1.5pt" o:hralign="center" o:hrstd="t" o:hr="t" fillcolor="#a0a0a0" stroked="f"/>
        </w:pict>
      </w:r>
    </w:p>
    <w:p w14:paraId="5029A37F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Palavras-chave e descritores</w:t>
      </w:r>
    </w:p>
    <w:p w14:paraId="68723093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Descritores controlados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3948"/>
      </w:tblGrid>
      <w:tr w:rsidR="00806CAF" w:rsidRPr="00806CAF" w14:paraId="60DFB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E77C0" w14:textId="77777777" w:rsidR="00806CAF" w:rsidRPr="00806CAF" w:rsidRDefault="00806CAF" w:rsidP="00806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DeCS — português</w:t>
            </w:r>
          </w:p>
        </w:tc>
        <w:tc>
          <w:tcPr>
            <w:tcW w:w="0" w:type="auto"/>
            <w:vAlign w:val="center"/>
            <w:hideMark/>
          </w:tcPr>
          <w:p w14:paraId="490506B9" w14:textId="77777777" w:rsidR="00806CAF" w:rsidRPr="00806CAF" w:rsidRDefault="00806CAF" w:rsidP="00806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MeSH — inglês</w:t>
            </w:r>
          </w:p>
        </w:tc>
      </w:tr>
      <w:tr w:rsidR="00806CAF" w:rsidRPr="00806CAF" w14:paraId="37AD0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4A0A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Vértebras Lombares</w:t>
            </w:r>
          </w:p>
        </w:tc>
        <w:tc>
          <w:tcPr>
            <w:tcW w:w="0" w:type="auto"/>
            <w:vAlign w:val="center"/>
            <w:hideMark/>
          </w:tcPr>
          <w:p w14:paraId="6314FFFA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Lumbar Vertebrae</w:t>
            </w:r>
          </w:p>
        </w:tc>
      </w:tr>
      <w:tr w:rsidR="00806CAF" w:rsidRPr="00806CAF" w14:paraId="42CC8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3DB3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Região Lombossacral</w:t>
            </w:r>
          </w:p>
        </w:tc>
        <w:tc>
          <w:tcPr>
            <w:tcW w:w="0" w:type="auto"/>
            <w:vAlign w:val="center"/>
            <w:hideMark/>
          </w:tcPr>
          <w:p w14:paraId="558AA443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Lumbosacral Region</w:t>
            </w:r>
          </w:p>
        </w:tc>
      </w:tr>
      <w:tr w:rsidR="00806CAF" w:rsidRPr="00806CAF" w14:paraId="298C4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8A8F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Espaço Retroperitoneal</w:t>
            </w:r>
          </w:p>
        </w:tc>
        <w:tc>
          <w:tcPr>
            <w:tcW w:w="0" w:type="auto"/>
            <w:vAlign w:val="center"/>
            <w:hideMark/>
          </w:tcPr>
          <w:p w14:paraId="1F9B72B5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Retroperitoneal Space</w:t>
            </w:r>
          </w:p>
        </w:tc>
      </w:tr>
      <w:tr w:rsidR="00806CAF" w:rsidRPr="00806CAF" w14:paraId="18CA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F778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Músculos Psoas</w:t>
            </w:r>
          </w:p>
        </w:tc>
        <w:tc>
          <w:tcPr>
            <w:tcW w:w="0" w:type="auto"/>
            <w:vAlign w:val="center"/>
            <w:hideMark/>
          </w:tcPr>
          <w:p w14:paraId="10D364AE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Psoas Muscles</w:t>
            </w:r>
          </w:p>
        </w:tc>
      </w:tr>
      <w:tr w:rsidR="00806CAF" w:rsidRPr="00806CAF" w14:paraId="0A9E9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56E2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Plexo Lombossacral</w:t>
            </w:r>
          </w:p>
        </w:tc>
        <w:tc>
          <w:tcPr>
            <w:tcW w:w="0" w:type="auto"/>
            <w:vAlign w:val="center"/>
            <w:hideMark/>
          </w:tcPr>
          <w:p w14:paraId="2C8BCF5B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Lumbosacral Plexus</w:t>
            </w:r>
          </w:p>
        </w:tc>
      </w:tr>
      <w:tr w:rsidR="00806CAF" w:rsidRPr="00806CAF" w14:paraId="479AC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8E69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Fusão Vertebral</w:t>
            </w:r>
          </w:p>
        </w:tc>
        <w:tc>
          <w:tcPr>
            <w:tcW w:w="0" w:type="auto"/>
            <w:vAlign w:val="center"/>
            <w:hideMark/>
          </w:tcPr>
          <w:p w14:paraId="6C2AF8E1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Spinal Fusion</w:t>
            </w:r>
          </w:p>
        </w:tc>
      </w:tr>
      <w:tr w:rsidR="00806CAF" w:rsidRPr="00806CAF" w14:paraId="19A38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13D8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Procedimentos Cirúrgicos Minimamente Invasivos</w:t>
            </w:r>
          </w:p>
        </w:tc>
        <w:tc>
          <w:tcPr>
            <w:tcW w:w="0" w:type="auto"/>
            <w:vAlign w:val="center"/>
            <w:hideMark/>
          </w:tcPr>
          <w:p w14:paraId="7682F951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Minimally Invasive Surgical Procedures</w:t>
            </w:r>
          </w:p>
        </w:tc>
      </w:tr>
      <w:tr w:rsidR="00806CAF" w:rsidRPr="00806CAF" w14:paraId="6A158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BE69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Complicações Intraoperatórias</w:t>
            </w:r>
          </w:p>
        </w:tc>
        <w:tc>
          <w:tcPr>
            <w:tcW w:w="0" w:type="auto"/>
            <w:vAlign w:val="center"/>
            <w:hideMark/>
          </w:tcPr>
          <w:p w14:paraId="112F9937" w14:textId="77777777" w:rsidR="00806CAF" w:rsidRPr="00806CAF" w:rsidRDefault="00806CAF" w:rsidP="00806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806CA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Intraoperative Complications</w:t>
            </w:r>
          </w:p>
        </w:tc>
      </w:tr>
    </w:tbl>
    <w:p w14:paraId="477CC1C3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Palavras-chave livres adicionais</w:t>
      </w:r>
    </w:p>
    <w:p w14:paraId="18223E38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Artrodese intersomática lombar anterior; artrodese intersomática lombar lateral; corredor transpsoas; corredor anterior ao psoas; MIS-ALIF; veia iliolombar; veia lombar ascendente; plexo hipogástrico.</w:t>
      </w:r>
    </w:p>
    <w:p w14:paraId="100DB148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1726CCA4">
          <v:rect id="_x0000_i1030" style="width:0;height:1.5pt" o:hralign="center" o:hrstd="t" o:hr="t" fillcolor="#a0a0a0" stroked="f"/>
        </w:pict>
      </w:r>
    </w:p>
    <w:p w14:paraId="7856E168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Três cards de destaque</w:t>
      </w:r>
    </w:p>
    <w:p w14:paraId="38125336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1 — Conceito essencial</w:t>
      </w:r>
    </w:p>
    <w:p w14:paraId="320EFED5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 corredor é anatômico</w:t>
      </w:r>
    </w:p>
    <w:p w14:paraId="0452FE69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entrada segura no retroperitônio ocorre entre a fáscia transversalis e o peritônio parietal. A mobilização medial do saco peritoneal e do ureter expõe o psoas, principal referência para os corredores laterais. Perder esse plano aumenta o risco de lesão peritoneal, visceral ou neural.</w:t>
      </w:r>
    </w:p>
    <w:p w14:paraId="7EF6AB20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59870B0B">
          <v:rect id="_x0000_i1029" style="width:0;height:1.5pt" o:hralign="center" o:hrstd="t" o:hr="t" fillcolor="#a0a0a0" stroked="f"/>
        </w:pict>
      </w:r>
    </w:p>
    <w:p w14:paraId="580FF88A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2 — Decisão clínica</w:t>
      </w:r>
    </w:p>
    <w:p w14:paraId="77BEA105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Transpsoas ou anterior ao psoas?</w:t>
      </w:r>
    </w:p>
    <w:p w14:paraId="67342351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transpsoas, a massa muscular funciona como barreira aos grandes vasos, mas contém o plexo lombar. No acesso anterior ao psoas, o plexo fica relativamente protegido, enquanto vasos, ureter e cadeia simpática tornam-se mais vulneráveis. A imagem pré-operatória deve orientar essa escolha.</w:t>
      </w:r>
    </w:p>
    <w:p w14:paraId="563BC6D9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558A5E7C">
          <v:rect id="_x0000_i1028" style="width:0;height:1.5pt" o:hralign="center" o:hrstd="t" o:hr="t" fillcolor="#a0a0a0" stroked="f"/>
        </w:pict>
      </w:r>
    </w:p>
    <w:p w14:paraId="4E48464D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Card 3 — Pérola ou alerta</w:t>
      </w:r>
    </w:p>
    <w:p w14:paraId="45BDDF26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Veias pequenas, sangramento importante</w:t>
      </w:r>
    </w:p>
    <w:p w14:paraId="20269337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veia iliolombar e a veia lombar ascendente podem limitar a exposição de L4–L5 e causar hemorragia de difícil controle. Sua identificação precoce, eventual ligadura planejada e mobilização cuidadosa da veia ilíaca são preferíveis à tração excessiva e à ruptura com retração do coto sob o psoas.</w:t>
      </w:r>
    </w:p>
    <w:p w14:paraId="02EA79BA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62F3D5DB">
          <v:rect id="_x0000_i1027" style="width:0;height:1.5pt" o:hralign="center" o:hrstd="t" o:hr="t" fillcolor="#a0a0a0" stroked="f"/>
        </w:pict>
      </w:r>
    </w:p>
    <w:p w14:paraId="784C98C0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Referências bibliográficas</w:t>
      </w:r>
    </w:p>
    <w:p w14:paraId="16A68EEB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Rathbone J, Rackham M, Nielsen D, Lee SM, Hing W, Riar S, Scott-Young M. A systematic review of anterior lumbar interbody fusion (ALIF) versus posterior lumbar interbody fusion (PLIF), transforaminal lumbar interbody fusion (TLIF), posterolateral lumbar fusion (PLF). Eur Spine J. 2023 Jun;32(6):1911-1926. doi:10.1007/s00586-023-07567-x. Epub 2023 Apr 18. PMID:37071155.</w:t>
      </w:r>
    </w:p>
    <w:p w14:paraId="0EC5995A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Palacios P, Palacios I, Palacios A, Gutiérrez JC, Mariscal G, Lorente A. Efficacy and safety of the extreme lateral interbody fusion (XLIF) technique in spine surgery: meta-analysis of 1409 patients. J Clin Med. 2024 Feb 7;13(4):960. doi:10.3390/jcm13040960. PMID:38398273; PMCID:PMC10889658.</w:t>
      </w:r>
    </w:p>
    <w:p w14:paraId="4D98CC37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Feng DP, Liu MQ, Zhang W, Wang JQ, Li ZW. Anterior column realignment via a minimally invasive hybrid approach in adult spinal deformity surgery: a short-term retrospective study. BMC Musculoskelet Disord. 2023 Dec 19;24(1):979. doi:10.1186/s12891-023-07106-1. PMID:38114995; PMCID:PMC10729504.</w:t>
      </w:r>
    </w:p>
    <w:p w14:paraId="79DF2E7F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classic. Cleavage of the cutis: the anatomy and physiology of the skin. Karl Langer. In: Sitzungberiche Akadamie der Wissenshaften Math Natur W CL. Vol. 43, Part 1, June 1861. Clin Orthop Relat Res [Internet]. (91):3-12. Available from: </w:t>
      </w:r>
      <w:r w:rsidRPr="00806C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http://www.ncbi.nlm.nih.gov/pubmed/4574066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207BA26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Abyaneh M-AY, Griffith R, Falto-Aizpurua L, Nouri K. Famous lines in history. JAMA Dermatol [Internet]. 2014 Oct 1;150(10):1087. Available from: </w:t>
      </w:r>
      <w:r w:rsidRPr="00806C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http://archderm.jamanetwork.com/article.aspx?doi=10.1001/jamadermatol.2014.659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7CE897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Moore KL, Dalley AF. Anatomia orientada para a clínica. 4. ed. Rio de Janeiro: Guanabara Koogan; 2001. 1023 p.</w:t>
      </w:r>
    </w:p>
    <w:p w14:paraId="3BF3F02E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Gray J, Mizell J. Anatomy of the abdominal wall [Internet]. UpToDate; 2016 [cited 2016 Jul 11]. Available from: </w:t>
      </w:r>
      <w:r w:rsidRPr="00806C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https://www.uptodate.com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851E0C4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Pereira Filho ARD. Iliolumbar vein: a challenge for the exposure of the L4-5 disc in the anterior approach to the lumbar spine. Eur Spine J. 2023;32:329-335. doi:10.1007/s00586-022-07400-x.</w:t>
      </w:r>
    </w:p>
    <w:p w14:paraId="182880B1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Mirza MZ, Olson SL, Panthofer AM, Matsumura JS, Williams SK. Surgeon learning curve and clinical outcomes of minimally invasive anterior lumbar interbody fusion with posterior percutaneous instrumentation. J Am Acad Orthop Surg Glob Res Rev. 2022 Dec 5;6(12):e22.00207. doi:10.5435/JAAOSGlobal-D-22-00207. PMID:36732304; PMCID:PMC9726293.</w:t>
      </w:r>
    </w:p>
    <w:p w14:paraId="64DDD6B2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Wood KB, Devine J, Fischer D, Dettori JR, Janssen M. Vascular injury in elective anterior lumbo-sacral surgery. Spine. 2010;35(9 Suppl):S66-S75.</w:t>
      </w:r>
    </w:p>
    <w:p w14:paraId="2D82670C" w14:textId="77777777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Sasso RC, Burkus JK, LeHuec JC. Retrograde ejaculation after anterior lumbar interbody fusion: transperitoneal versus retroperitoneal exposure. Spine. 2003;28(10):1023-1026.</w:t>
      </w:r>
    </w:p>
    <w:p w14:paraId="4F10BAA2" w14:textId="74925D70" w:rsidR="00806CAF" w:rsidRPr="00806CAF" w:rsidRDefault="00806CAF" w:rsidP="00806C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Aghayev K, Vrionis FD. Mini-open lateral retroperitoneal lumbar spine approach using psoas muscle retraction technique: technical report and initial results on six patients. Eur Spine J. 2013 Sep;22(9):2113-2119. doi:10.1007/s00586-013-2931-1. Epub 2013 Aug 1. PMID:23904000; PMCID:PMC3777064.</w:t>
      </w:r>
    </w:p>
    <w:p w14:paraId="4FD4AA00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7B23108F">
          <v:rect id="_x0000_i1026" style="width:0;height:1.5pt" o:hralign="center" o:hrstd="t" o:hr="t" fillcolor="#a0a0a0" stroked="f"/>
        </w:pict>
      </w:r>
    </w:p>
    <w:p w14:paraId="2C8A90FA" w14:textId="77777777" w:rsidR="00806CAF" w:rsidRPr="00806CAF" w:rsidRDefault="00806CAF" w:rsidP="00806C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Metadados para publicação</w:t>
      </w:r>
    </w:p>
    <w:p w14:paraId="5AE88B87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SEO: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Anatomia e acessos da coluna lombar e lombossacra</w:t>
      </w:r>
    </w:p>
    <w:p w14:paraId="263DA98A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descrição: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Conheça a anatomia da parede abdominal e do retroperitônio, as vias anterior, transpsoas e pré-psoas e seus principais riscos neurovasculares.</w:t>
      </w:r>
    </w:p>
    <w:p w14:paraId="269DD166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Resumo de chamada: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Síntese dos corredores anterior, transpsoas, pré-psoas e posterior, com ênfase na anatomia retroperitoneal, no planejamento por imagem e na prevenção de complicações.</w:t>
      </w:r>
    </w:p>
    <w:p w14:paraId="0F770DB9" w14:textId="77777777" w:rsidR="00806CAF" w:rsidRPr="00806CAF" w:rsidRDefault="00806CAF" w:rsidP="00806C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06C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Sugestão de slug:</w:t>
      </w:r>
      <w:r w:rsidRPr="00806C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06CA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anatomia-acessos-coluna-lombar-lombossacra</w:t>
      </w:r>
    </w:p>
    <w:p w14:paraId="6556399D" w14:textId="77777777" w:rsidR="00806CAF" w:rsidRPr="00806CAF" w:rsidRDefault="005F34C5" w:rsidP="00806C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34C5">
        <w:rPr>
          <w:rFonts w:ascii="Times New Roman" w:eastAsia="Times New Roman" w:hAnsi="Times New Roman" w:cs="Times New Roman"/>
          <w:noProof/>
          <w:kern w:val="0"/>
        </w:rPr>
        <w:pict w14:anchorId="1CEA3132">
          <v:rect id="_x0000_i1025" style="width:0;height:1.5pt" o:hralign="center" o:hrstd="t" o:hr="t" fillcolor="#a0a0a0" stroked="f"/>
        </w:pict>
      </w:r>
    </w:p>
    <w:p w14:paraId="4C356BDF" w14:textId="48232EC5" w:rsidR="00351065" w:rsidRPr="00351065" w:rsidRDefault="00351065" w:rsidP="00351065">
      <w:pPr>
        <w:rPr>
          <w:rFonts w:ascii="Courier New" w:hAnsi="Courier New" w:cs="Courier New"/>
          <w:color w:val="074F6A" w:themeColor="accent4" w:themeShade="80"/>
          <w:sz w:val="22"/>
          <w:szCs w:val="22"/>
        </w:rPr>
      </w:pPr>
    </w:p>
    <w:sectPr w:rsidR="00351065" w:rsidRPr="003510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E71FAD"/>
    <w:multiLevelType w:val="multilevel"/>
    <w:tmpl w:val="A90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FA5D37"/>
    <w:multiLevelType w:val="multilevel"/>
    <w:tmpl w:val="7F5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B66A95"/>
    <w:multiLevelType w:val="multilevel"/>
    <w:tmpl w:val="2F0A0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118FC"/>
    <w:multiLevelType w:val="multilevel"/>
    <w:tmpl w:val="718681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40800"/>
    <w:multiLevelType w:val="multilevel"/>
    <w:tmpl w:val="25102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60791"/>
    <w:multiLevelType w:val="multilevel"/>
    <w:tmpl w:val="F2B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EC3F59"/>
    <w:multiLevelType w:val="multilevel"/>
    <w:tmpl w:val="E6D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9A66EF"/>
    <w:multiLevelType w:val="multilevel"/>
    <w:tmpl w:val="637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C43A0"/>
    <w:multiLevelType w:val="multilevel"/>
    <w:tmpl w:val="3B1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5336C5"/>
    <w:multiLevelType w:val="multilevel"/>
    <w:tmpl w:val="DFAA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22AC0"/>
    <w:multiLevelType w:val="multilevel"/>
    <w:tmpl w:val="754E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8802737">
    <w:abstractNumId w:val="4"/>
  </w:num>
  <w:num w:numId="2" w16cid:durableId="680595307">
    <w:abstractNumId w:val="3"/>
  </w:num>
  <w:num w:numId="3" w16cid:durableId="2704524">
    <w:abstractNumId w:val="5"/>
  </w:num>
  <w:num w:numId="4" w16cid:durableId="784273175">
    <w:abstractNumId w:val="10"/>
  </w:num>
  <w:num w:numId="5" w16cid:durableId="757213044">
    <w:abstractNumId w:val="1"/>
  </w:num>
  <w:num w:numId="6" w16cid:durableId="1481922157">
    <w:abstractNumId w:val="6"/>
  </w:num>
  <w:num w:numId="7" w16cid:durableId="2035955284">
    <w:abstractNumId w:val="8"/>
  </w:num>
  <w:num w:numId="8" w16cid:durableId="967514498">
    <w:abstractNumId w:val="0"/>
  </w:num>
  <w:num w:numId="9" w16cid:durableId="1697193514">
    <w:abstractNumId w:val="9"/>
  </w:num>
  <w:num w:numId="10" w16cid:durableId="1054043280">
    <w:abstractNumId w:val="7"/>
  </w:num>
  <w:num w:numId="11" w16cid:durableId="211459213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65"/>
    <w:rsid w:val="00351065"/>
    <w:rsid w:val="005F34C5"/>
    <w:rsid w:val="006F6E99"/>
    <w:rsid w:val="00806CAF"/>
    <w:rsid w:val="00B21FE0"/>
    <w:rsid w:val="00FA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B0646"/>
  <w15:chartTrackingRefBased/>
  <w15:docId w15:val="{E4F2CF17-C26B-3C4E-A14B-68A71FF9D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5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CAF"/>
    <w:rPr>
      <w:b/>
      <w:bCs/>
    </w:rPr>
  </w:style>
  <w:style w:type="character" w:customStyle="1" w:styleId="apple-converted-space">
    <w:name w:val="apple-converted-space"/>
    <w:basedOn w:val="DefaultParagraphFont"/>
    <w:rsid w:val="00806CAF"/>
  </w:style>
  <w:style w:type="character" w:styleId="Emphasis">
    <w:name w:val="Emphasis"/>
    <w:basedOn w:val="DefaultParagraphFont"/>
    <w:uiPriority w:val="20"/>
    <w:qFormat/>
    <w:rsid w:val="00806CA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6C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7</Pages>
  <Words>2057</Words>
  <Characters>11010</Characters>
  <Application>Microsoft Office Word</Application>
  <DocSecurity>0</DocSecurity>
  <Lines>440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cp:lastPrinted>2026-08-18T20:16:00Z</cp:lastPrinted>
  <dcterms:created xsi:type="dcterms:W3CDTF">2026-08-18T20:06:00Z</dcterms:created>
  <dcterms:modified xsi:type="dcterms:W3CDTF">2026-08-19T16:15:00Z</dcterms:modified>
</cp:coreProperties>
</file>