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5B158" w14:textId="77777777" w:rsidR="00ED171C" w:rsidRPr="00ED171C" w:rsidRDefault="00ED171C" w:rsidP="00ED1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9 — Princípios da Artrodese, Biologia do Enxerto e Substitutos Ósseos na Coluna</w:t>
      </w:r>
    </w:p>
    <w:p w14:paraId="70916711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152BD8CF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9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Princípios da Artrodese, Biologia do Enxerto e Substitutos Ósseos na Coluna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1</w:t>
      </w:r>
    </w:p>
    <w:p w14:paraId="4E294AC0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21258184" w14:textId="77777777" w:rsidR="00ED171C" w:rsidRPr="00ED171C" w:rsidRDefault="00ED171C" w:rsidP="00ED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Raphael Martus Marcon</w:t>
      </w:r>
    </w:p>
    <w:p w14:paraId="36E66FA8" w14:textId="77777777" w:rsidR="00ED171C" w:rsidRPr="00ED171C" w:rsidRDefault="00ED171C" w:rsidP="00ED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Matheus Augusto Maciel Santiago</w:t>
      </w:r>
    </w:p>
    <w:p w14:paraId="41565D8B" w14:textId="77777777" w:rsidR="00ED171C" w:rsidRPr="00ED171C" w:rsidRDefault="00ED171C" w:rsidP="00ED171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Henrique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Griese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Luciano dos Santos</w:t>
      </w:r>
    </w:p>
    <w:p w14:paraId="294F6B59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14895111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66D6049B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3B7B8EE4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A artrodese vertebral não se resume à colocação de enxerto ou à instrumentação: seu êxito depende da integração entre um leito biologicamente competente e estabilidade mecânica suficiente para permitir formação e remodelação óssea. O capítulo apresenta a evolução do uso de enxertos e mostra que a consolidação exige osteogênese, osteoindução, osteocondução, vascularização e controle dos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micromovimentos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Essas exigências variam conforme a região tratada: a coluna cervical tende a oferecer maior vascularização e menores cargas axiais, enquanto a lombar está submetida a forças compressivas e rotacionais mais intensas. 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reúne as três propriedades biológicas fundamentais, mas sua obtenção pode causar morbidade e fornecer volume limitado. Aloenxertos, aspirado de medula óssea, matriz óssea desmineralizada, proteínas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morfogenéticas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 cerâmicas ampliam as possibilidades, porém apresentam capacidades biológicas e estruturais distintas. O desafio clínico consiste em associar o material adequado ao leito receptor, à demanda mecânica, ao perfil do paciente e ao risco de pseudoartrose.</w:t>
      </w:r>
    </w:p>
    <w:p w14:paraId="0E259FD7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72F7AF45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5471BADE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2A1AC698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os princípios biológicos e mecânicos da artrodese e comparar as principais opções de enxerto e substitutos ósseos. Ao final, o leitor deverá compreender osteogênese, osteoindução e osteocondução; reconhecer as características do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aloenxerto, aspirado de medula óssea, matriz óssea desmineralizada, proteínas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morfogenéticas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 cerâmicas; e relacionar vascularização, estabilidade,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demanda estrutural e perfil biológico do paciente à escolha do material, com atenção à segurança e ao custo-benefício.</w:t>
      </w:r>
    </w:p>
    <w:p w14:paraId="604176EE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230BEFD1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4A7C6DC4" w14:textId="77777777" w:rsidR="00ED171C" w:rsidRPr="00ED171C" w:rsidRDefault="00ED171C" w:rsidP="00ED1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228BC1DC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Consolidação, leito receptor e estabilidade</w:t>
      </w:r>
    </w:p>
    <w:p w14:paraId="6698DD9A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A consolidação da artrodese reproduz etapas semelhantes às da reparação de fraturas. A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decorticação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de processos transversos, lâminas e facetas expõe tecido vascularizado, libera células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osteoprogenitoras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 forma um hematoma rico em mediadores inflamatórios. A Figura 1 organiza o processo em inflamação nas semanas 1 e 2, vascularização na terceira, osteoindução na quarta, osteocondução na quinta e remodelação a partir da sexta semana. A substituição progressiva do enxerto por osso novo, denominada 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creeping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substitution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avança da periferia para o centro e pode ser mais lenta nas regiões centrais.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Micromovimentos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não controlados desviam a resposta regenerativa e aumentam o risco de pseudoartrose.</w:t>
      </w:r>
    </w:p>
    <w:p w14:paraId="117A3E21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Propriedades biológicas e 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autoenxerto</w:t>
      </w:r>
      <w:proofErr w:type="spellEnd"/>
    </w:p>
    <w:p w14:paraId="19AE4205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O material de enxertia é analisado segundo três propriedades. Osteogênese corresponde ao fornecimento de células capazes de formar osso; osteoindução, ao estímulo para diferenciação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osteoblástica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; e osteocondução, ao arcabouço que permite progressão vascular e óssea. A Tabela 1 compara essas capacidades entre os materiais e evidencia que nenhum substituto reproduz integralmente o perfil do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4D277EFA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permanece como padrão-ouro por reunir as três propriedades. Pode ser obtido da crista ilíaca, costelas ou processos espinhosos, mas sua coleta está associada a dor crônica, infecção, sangramento e déficits neurológicos, com complicações descritas entre 5% e 10%. O enxerto esponjoso oferece maior atividade biológica em leitos perfundidos e estáveis; o cortical proporciona suporte duradouro em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corpectomias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 grandes defeitos, embora se revascularize lentamente; e o córtico-esponjoso combina estímulo biológico e resistência.</w:t>
      </w:r>
    </w:p>
    <w:p w14:paraId="7F3F0965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Aspirado de medula e aloenxerto</w:t>
      </w:r>
    </w:p>
    <w:p w14:paraId="305859F5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 aspirado de medula óssea (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bone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marrow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aspirate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— BMA) fornece células-tronco mesenquimais e precursores osteogênicos. É utilizado como adjuvante, geralmente associado a cerâmicas, matriz óssea desmineralizada ou aloenxerto; seu emprego isolado permanece controverso no capítulo.</w:t>
      </w:r>
    </w:p>
    <w:p w14:paraId="487FE5FE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O aloenxerto amplia o volume disponível e evita morbidade da área doadora. A Figura 2 apresenta um exemplo de aloenxerto de crista ilíaca. Seu processamento pode reduzir propriedades biológicas e mecânicas. Em geral, oferece boa osteocondução, pouca osteoindução e nenhuma osteogênese, com integração mais lenta e menor desempenho em fusões longas. Pode ser associado a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BMA ou proteínas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morfogenéticas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para complementar o microambiente de fusão.</w:t>
      </w:r>
    </w:p>
    <w:p w14:paraId="6DA720E1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lastRenderedPageBreak/>
        <w:t>Substitutos ósseos</w:t>
      </w:r>
    </w:p>
    <w:p w14:paraId="3FA54F40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 Tabela 2 divide os substitutos em derivados biológicos e sintéticos. Eles podem funcionar como extensores, potencializadores ou substitutos, desde que suas limitações estruturais sejam respeitadas.</w:t>
      </w:r>
    </w:p>
    <w:p w14:paraId="43DE194D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 matriz óssea desmineralizada (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demineralized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bone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matrix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 — DBM) preserva proteínas e pequenas concentrações de fatores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osteoindutores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É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osteocondutora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osteoindutora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porém sem resistência mecânica significativa; sua viscosidade e permanência no leito variam conforme o veículo. As proteínas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morfogenéticas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ósseas (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bone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morphogenetic</w:t>
      </w:r>
      <w:proofErr w:type="spellEnd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proteins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 —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BMPs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), especialmente a proteína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morfogenética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óssea recombinante humana 2 (rhBMP-2), estimulam a diferenciação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osteoblástica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mas o capítulo destaca edema pré-vertebral, hematomas e ossificação heterotópica no uso cervical. As cerâmicas, como hidroxiapatita e fosfato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tricálcico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beta (β-TCP), atuam principalmente como arcabouços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osteocondutores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Sua porosidade favorece a invasão vascular, mas a baixa resistência ao cisalhamento e à fratura exige fixação rígida e proteção contra carga até a incorporação.</w:t>
      </w:r>
    </w:p>
    <w:p w14:paraId="3A7D6AA7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1BFBE13F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78714DAC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2DBDCADA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Na prática, a seleção do material deve começar pela avaliação do leito receptor: vascularização, qualidade da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decorticação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estabilidade local, volume necessário e demanda mecânica do segmento. Regiões bem perfundidas e estáveis podem receber enxerto esponjoso e extensores; grandes defeitos ou situações que exigem sustentação favorecem componentes corticais ou córtico-esponjosos associados a construção mecanicamente adequada. A disponibilidade de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deve ser ponderada contra a morbidade da área doadora.</w:t>
      </w:r>
    </w:p>
    <w:p w14:paraId="651BE156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O BMA pode acrescentar células osteogênicas a um arcabouço de DBM, cerâmica ou aloenxerto, mas o capítulo não sustenta seu uso isolado como solução universal. O aloenxerto é útil quando se necessita de maior volume, reconhecendo-se sua integração mais lenta. A DBM funciona melhor como extensora em leito estruturalmente sustentado e deve ser evitada isoladamente em áreas instáveis ou submetidas a alta carga. As cerâmicas também não substituem a estabilidade imediata e exigem controle dos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micromovimentos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9A09FC4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 rhBMP-2 oferece potente osteoindução, porém sua seleção deve considerar o nível tratado e os efeitos adversos descritos, com cautela extrema na coluna cervical. Em pacientes com menor reserva biológica ou maior risco de pseudoartrose, o capítulo propõe estratégias combinadas, como DBM com BMA ou aloenxerto com BMP. Nenhum produto, entretanto, compensa preparo inadequado do leito receptor, vascularização insuficiente ou falha da instrumentação.</w:t>
      </w:r>
    </w:p>
    <w:p w14:paraId="221E2841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79FAF770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A artrodese bem-sucedida depende da convergência entre biologia, material e estabilidade. 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oferece o perfil biológico mais completo, mas volume e morbidade podem exigir aloenxerto, BMA, DBM, BMP ou cerâmicas. Nenhum substituto compensa isoladamente um leito mal preparado ou uma construção instável; a seleção deve responder à vascularização, à demanda estrutural e ao risco individual de pseudoartrose.</w:t>
      </w:r>
    </w:p>
    <w:p w14:paraId="2BF37BE0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28FCE9D5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36E40157" w14:textId="77777777" w:rsidR="00ED171C" w:rsidRPr="00ED171C" w:rsidRDefault="00ED171C" w:rsidP="00ED171C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64142C96" w14:textId="77777777" w:rsidR="00ED171C" w:rsidRPr="00ED171C" w:rsidRDefault="00ED171C" w:rsidP="00ED171C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Falhas de fusão raramente decorrem de um único fator. Um enxerto biologicamente potente pode fracassar sob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micromovimento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, enquanto uma instrumentação rígida não cria, por si só, células, sinais e matriz para formar osso. Este capítulo oferece uma lógica prática para combinar essas necessidades e escolher entre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 aloenxerto, BMA, DBM, BMP e cerâmicas. Ao reconhecer o que cada opção fornece — e o que não fornece —, o cirurgião reduz escolhas automáticas, antecipa limitações do leito receptor e planeja estratégias proporcionais ao risco de pseudoartrose.</w:t>
      </w:r>
    </w:p>
    <w:p w14:paraId="74FF695B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09A34FD9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0579B35C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Palavras-chave e descritores</w:t>
      </w:r>
    </w:p>
    <w:p w14:paraId="28E28818" w14:textId="77777777" w:rsidR="00ED171C" w:rsidRPr="00ED171C" w:rsidRDefault="00ED171C" w:rsidP="00ED1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955"/>
      </w:tblGrid>
      <w:tr w:rsidR="00ED171C" w:rsidRPr="00ED171C" w14:paraId="50E90A72" w14:textId="77777777" w:rsidTr="00ED1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BD8FD" w14:textId="77777777" w:rsidR="00ED171C" w:rsidRPr="00ED171C" w:rsidRDefault="00ED171C" w:rsidP="00ED1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31101457" w14:textId="77777777" w:rsidR="00ED171C" w:rsidRPr="00ED171C" w:rsidRDefault="00ED171C" w:rsidP="00ED17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ED171C" w:rsidRPr="00ED171C" w14:paraId="7024D25A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A423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729F9BB1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Fusion</w:t>
            </w:r>
          </w:p>
        </w:tc>
      </w:tr>
      <w:tr w:rsidR="00ED171C" w:rsidRPr="00ED171C" w14:paraId="36C9505E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CD0B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Transplante Ósseo</w:t>
            </w:r>
          </w:p>
        </w:tc>
        <w:tc>
          <w:tcPr>
            <w:tcW w:w="0" w:type="auto"/>
            <w:vAlign w:val="center"/>
            <w:hideMark/>
          </w:tcPr>
          <w:p w14:paraId="4D14ECB2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Bone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Transplantation</w:t>
            </w:r>
            <w:proofErr w:type="spellEnd"/>
          </w:p>
        </w:tc>
      </w:tr>
      <w:tr w:rsidR="00ED171C" w:rsidRPr="00ED171C" w14:paraId="628945A1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E89C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Substitutos Ósseos</w:t>
            </w:r>
          </w:p>
        </w:tc>
        <w:tc>
          <w:tcPr>
            <w:tcW w:w="0" w:type="auto"/>
            <w:vAlign w:val="center"/>
            <w:hideMark/>
          </w:tcPr>
          <w:p w14:paraId="441486EF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Bone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Substitutes</w:t>
            </w:r>
            <w:proofErr w:type="spellEnd"/>
          </w:p>
        </w:tc>
      </w:tr>
      <w:tr w:rsidR="00ED171C" w:rsidRPr="00ED171C" w14:paraId="5687336B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2447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Regeneração Óssea</w:t>
            </w:r>
          </w:p>
        </w:tc>
        <w:tc>
          <w:tcPr>
            <w:tcW w:w="0" w:type="auto"/>
            <w:vAlign w:val="center"/>
            <w:hideMark/>
          </w:tcPr>
          <w:p w14:paraId="29199C20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Bone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Regeneration</w:t>
            </w:r>
            <w:proofErr w:type="spellEnd"/>
          </w:p>
        </w:tc>
      </w:tr>
      <w:tr w:rsidR="00ED171C" w:rsidRPr="00ED171C" w14:paraId="4D02299D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67C4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Osteogênese</w:t>
            </w:r>
          </w:p>
        </w:tc>
        <w:tc>
          <w:tcPr>
            <w:tcW w:w="0" w:type="auto"/>
            <w:vAlign w:val="center"/>
            <w:hideMark/>
          </w:tcPr>
          <w:p w14:paraId="0BB58028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Osteogenesis</w:t>
            </w:r>
            <w:proofErr w:type="spellEnd"/>
          </w:p>
        </w:tc>
      </w:tr>
      <w:tr w:rsidR="00ED171C" w:rsidRPr="00ED171C" w14:paraId="6C8CAEED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56E1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Proteínas </w:t>
            </w: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Morfogenéticas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Ósseas</w:t>
            </w:r>
          </w:p>
        </w:tc>
        <w:tc>
          <w:tcPr>
            <w:tcW w:w="0" w:type="auto"/>
            <w:vAlign w:val="center"/>
            <w:hideMark/>
          </w:tcPr>
          <w:p w14:paraId="0628F6B2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Bone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Morphogenetic</w:t>
            </w:r>
            <w:proofErr w:type="spellEnd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Proteins</w:t>
            </w:r>
            <w:proofErr w:type="spellEnd"/>
          </w:p>
        </w:tc>
      </w:tr>
      <w:tr w:rsidR="00ED171C" w:rsidRPr="00ED171C" w14:paraId="33A45917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B700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Autoenxertos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C736A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Autografts</w:t>
            </w:r>
            <w:proofErr w:type="spellEnd"/>
          </w:p>
        </w:tc>
      </w:tr>
      <w:tr w:rsidR="00ED171C" w:rsidRPr="00ED171C" w14:paraId="093BA1FB" w14:textId="77777777" w:rsidTr="00ED1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87F2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Aloenxertos</w:t>
            </w:r>
          </w:p>
        </w:tc>
        <w:tc>
          <w:tcPr>
            <w:tcW w:w="0" w:type="auto"/>
            <w:vAlign w:val="center"/>
            <w:hideMark/>
          </w:tcPr>
          <w:p w14:paraId="203E186C" w14:textId="77777777" w:rsidR="00ED171C" w:rsidRPr="00ED171C" w:rsidRDefault="00ED171C" w:rsidP="00ED171C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ED171C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Allografts</w:t>
            </w:r>
            <w:proofErr w:type="spellEnd"/>
          </w:p>
        </w:tc>
      </w:tr>
    </w:tbl>
    <w:p w14:paraId="4FC1DD3E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As correspondências de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Fusão Vertebral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Regeneração Óssea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Osteogênese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e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Proteínas 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Morfogenéticas</w:t>
      </w:r>
      <w:proofErr w:type="spellEnd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Ósseas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 foram confirmadas na edição oficial de 2026 do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DeCS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/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MeSH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B51832A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Também foram confirmados os descritores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Transplante Ósseo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Substitutos Ósseos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 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Autoenxertos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e </w:t>
      </w: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Aloenxertos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6121D4D2" w14:textId="77777777" w:rsidR="00ED171C" w:rsidRPr="00ED171C" w:rsidRDefault="00ED171C" w:rsidP="00ED1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Palavras-chave livres adicionais</w:t>
      </w:r>
    </w:p>
    <w:p w14:paraId="69EE7213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Osteocondução; osteoindução; aspirado de medula óssea; matriz óssea desmineralizada; fosfato 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tricálcico</w:t>
      </w:r>
      <w:proofErr w:type="spellEnd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beta; 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>creeping</w:t>
      </w:r>
      <w:proofErr w:type="spellEnd"/>
      <w:r w:rsidRPr="00ED171C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i/>
          <w:iCs/>
          <w:color w:val="000000"/>
          <w:lang w:eastAsia="pt-BR"/>
        </w:rPr>
        <w:t>substitution</w:t>
      </w:r>
      <w:proofErr w:type="spellEnd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; pseudoartrose.</w:t>
      </w:r>
    </w:p>
    <w:p w14:paraId="0BC3D301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lastRenderedPageBreak/>
        <w:pict w14:anchorId="593AE589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72828E06" w14:textId="77777777" w:rsidR="00ED171C" w:rsidRPr="00ED171C" w:rsidRDefault="00ED171C" w:rsidP="00ED1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158F7305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3B3C3D97" w14:textId="77777777" w:rsidR="00ED171C" w:rsidRPr="00ED171C" w:rsidRDefault="00ED171C" w:rsidP="00ED1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Três propriedades, um resultado</w:t>
      </w:r>
    </w:p>
    <w:p w14:paraId="11139B3B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Osteogênese fornece células formadoras de osso; osteoindução estimula a diferenciação celular; osteocondução oferece o arcabouço para a progressão da neoformação. O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reúne as três, enquanto BMA, DBM, BMP e cerâmicas apresentam perfis complementares. A escolha deve considerar qual componente está ausente ou insuficiente no leito receptor.</w:t>
      </w:r>
    </w:p>
    <w:p w14:paraId="3836E3F3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4384B154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2CD3BFFD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5279172A" w14:textId="77777777" w:rsidR="00ED171C" w:rsidRPr="00ED171C" w:rsidRDefault="00ED171C" w:rsidP="00ED1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Escolha pelo leito e carga</w:t>
      </w:r>
    </w:p>
    <w:p w14:paraId="0A7A8053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Leitos vascularizados e estáveis favorecem enxerto esponjoso e extensores. Grandes defeitos ou segmentos submetidos a carga requerem suporte estrutural cortical ou córtico-esponjoso e fixação adequada. Em pacientes com menor reserva celular ou alto risco de pseudoartrose, o capítulo favorece estratégias combinadas, sem tratar um único produto como solução universal.</w:t>
      </w:r>
    </w:p>
    <w:p w14:paraId="1899B05E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5493C752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5B0FD32C" w14:textId="77777777" w:rsidR="00ED171C" w:rsidRPr="00ED171C" w:rsidRDefault="00ED171C" w:rsidP="00ED171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092534B3" w14:textId="77777777" w:rsidR="00ED171C" w:rsidRPr="00ED171C" w:rsidRDefault="00ED171C" w:rsidP="00ED171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Substituto não garante estabilidade</w:t>
      </w:r>
    </w:p>
    <w:p w14:paraId="73637836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DBM e cerâmicas não devem ser utilizadas como se oferecessem resistência mecânica imediata. Em leitos instáveis,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micromovimentos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comprometem a integração e elevam o risco de pseudoartrose. A BMP-2 também exige cautela especial na coluna cervical, onde o capítulo relaciona seu uso a edema pré-vertebral, hematomas e ossificação heterotópica.</w:t>
      </w:r>
    </w:p>
    <w:p w14:paraId="4A07B0DE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44526C88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24191B3A" w14:textId="77777777" w:rsidR="00ED171C" w:rsidRPr="00ED171C" w:rsidRDefault="00ED171C" w:rsidP="00ED1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2838876F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Urist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MR, O’Connor BT, Burwell RG. Bone graft, derivatives &amp; substitutes. Cambridge: Butterworth-Heinemann; 1994.</w:t>
      </w:r>
    </w:p>
    <w:p w14:paraId="1BB06E97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Hampel GA, Yilmaz E,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Massrey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Clifton W, Iwanaga J, Loukas M, Tubbs RS.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History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grafts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in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surgery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Cureus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2022;14(5):e24655.</w:t>
      </w:r>
    </w:p>
    <w:p w14:paraId="5A8F5259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Lee BJ,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Seok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MC,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Koo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HW,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Jeong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JH,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Ko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MJ.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Bone substitute options for spine fusion in patients with spine trauma — Part I: fusion biology, autografts, allografts, demineralized bone matrix, and ceramics.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Korean 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Neurotrauma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2023;19(4):446-53.</w:t>
      </w:r>
    </w:p>
    <w:p w14:paraId="475702B6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Giannoudis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PV,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Dinopoulos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Tsiridis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E. Bone substitutes: an update. Injury.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2005;36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3:S20-27.</w:t>
      </w:r>
    </w:p>
    <w:p w14:paraId="700FECE9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Boden SD. Overview of the biology of lumbar spine fusion and principles for selecting a bone graft substitute.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2002;27:S26-31.</w:t>
      </w:r>
    </w:p>
    <w:p w14:paraId="2E009CF5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Bridwell KH, DeWald RL. Bridwell and DeWald’s textbook of spinal surgery.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4th ed. Philadelphia: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Wolters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Kluwer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; 2019.</w:t>
      </w:r>
    </w:p>
    <w:p w14:paraId="689235A6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Morone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MA, Boden SD, Martin G, Hair G, Titus L. Gene expression during autograft lumbar spine fusion and the effect of bone morphogenetic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protein-2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1998;351:252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-65.</w:t>
      </w:r>
    </w:p>
    <w:p w14:paraId="4C21088E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Stevenson S, Emery SE, Goldberg VM. Factors affecting bone graft incorporation.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1996;324:66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-74.</w:t>
      </w:r>
    </w:p>
    <w:p w14:paraId="2A5214F7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Younger EM, Chapman MW. Morbidity at bone graft donor sites.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Trauma.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1989;3:192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-95.</w:t>
      </w:r>
    </w:p>
    <w:p w14:paraId="29FB185B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Hu RW,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Bohlman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HH. Fracture at the iliac bone graft harvest site after fusion of the spine.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1994;309:208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-13.</w:t>
      </w:r>
    </w:p>
    <w:p w14:paraId="20E21F9F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Burwell RG. The fate of bone grafts. In: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Apley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AG, editor. Recent advances in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orthopaedics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London: Churchill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Livingstone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; 1969.</w:t>
      </w:r>
    </w:p>
    <w:p w14:paraId="1DE3D1F5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Khan SN,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Cammisa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FP Jr, Sandhu HS, et al. The biology of bone grafting.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Am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Acad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2005;13:77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-86.</w:t>
      </w:r>
    </w:p>
    <w:p w14:paraId="47FA6A83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Sandhu HS, Grewal HS,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Parvataneni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H. Bone grafting for spinal fusion.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North Am.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1999;30:685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-98.</w:t>
      </w:r>
    </w:p>
    <w:p w14:paraId="6CD4FA81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Johnson R. Bone marrow concentrate with allograft equivalent to autograft in lumbar fusions.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2014;39(9):695-700.</w:t>
      </w:r>
    </w:p>
    <w:p w14:paraId="419B1BAD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Hart R,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Komzák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Okál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et al. Allograft alone versus allograft with bone marrow concentrate for the healing of instrumented posterolateral lumbar fusion.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J. 2014;14(7):1318-24.</w:t>
      </w:r>
    </w:p>
    <w:p w14:paraId="76819C94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Boyce T, Edwards J, Scarborough N. Allograft bone: the influence of processing on safety and performance.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North Am.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1999;30:571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-81.</w:t>
      </w:r>
    </w:p>
    <w:p w14:paraId="6560C6B6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Fleming JE Jr, Cornell CN,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Muschier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GF. Bone cells and matrices in orthopedic tissue engineering.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North Am.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2000;31:357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-74.</w:t>
      </w:r>
    </w:p>
    <w:p w14:paraId="4CB41227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Shields LB, Raque GH, Glassman SD, et al. Adverse effects associated with high-dose rhBMP-2 in anterior cervical spine fusion.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2006;31(5):542-47.</w:t>
      </w:r>
    </w:p>
    <w:p w14:paraId="33293A6F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Smucker JD, Rhee JM, Singh K, et al. Increased swelling complications associated with off-label usage of rhBMP-2 in the anterior cervical spine.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2006;31(24):2813-19.</w:t>
      </w:r>
    </w:p>
    <w:p w14:paraId="4FB38D1D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Baskin DS, Ryan P, Sonntag V, et al. A prospective, randomized, controlled cervical fusion study using rhBMP-2.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2003;28(12):1219-25.</w:t>
      </w:r>
    </w:p>
    <w:p w14:paraId="363974BE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Carragee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EJ, Hurwitz EL, Weiner BK. A critical review of rhBMP-2 trials in spinal surgery.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J. 2011;11(6):471-91.</w:t>
      </w:r>
    </w:p>
    <w:p w14:paraId="55406361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Jorgenson SS, Lowe TG, France J, et al. A prospective analysis of autograft versus allograft in posterolateral lumbar fusion.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1994;19:2048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-53.</w:t>
      </w:r>
    </w:p>
    <w:p w14:paraId="22316F95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Aurori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BF,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Weierman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RJ, Lowell HA, et al. Pseudarthrosis after spinal fusion for scoliosis: a comparison of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autogeneic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allogeneic bone grafts.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1985;199:153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-58.</w:t>
      </w:r>
    </w:p>
    <w:p w14:paraId="5D927DD2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Cohen DB,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Chotivichit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Fujita T, et al. Pseudarthrosis repair: autogenous iliac crest vs femoral ring allograft.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2000;371:46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-55.</w:t>
      </w:r>
    </w:p>
    <w:p w14:paraId="57F1C132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Kleinstueck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FS, Hu SS, Bradford DS. Use of allograft femoral rings for spinal deformity in adults.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2002:84-91.</w:t>
      </w:r>
    </w:p>
    <w:p w14:paraId="708D882F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Gao Y, Li J,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Cui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H, et al.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Comparison of intervertebral fusion rates of different bone graft materials in XLIF.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Medicine. 2019;98(44):e17685.</w:t>
      </w:r>
    </w:p>
    <w:p w14:paraId="00AE57EF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Kasis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AG, Jensen C,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Dharmadhikari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et al. Novel bone grafting technique in ALIF using allograft and autograft (“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Northumbria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Technique”).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Eur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2021;30:1296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-1302.</w:t>
      </w:r>
    </w:p>
    <w:p w14:paraId="3B700BD2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Dodd CA, Fergusson CM, Freedman L, et al. Allograft versus autograft bone in scoliosis surgery.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Br.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1988;70:431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-34.</w:t>
      </w:r>
    </w:p>
    <w:p w14:paraId="54824045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Fernandez de Grado G, Keller L,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Idoux-Gillet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Y, et al.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Bone substitutes: a review of their characteristics, clinical use, and perspectives for large bone defects management.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Tissue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Eng.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2018;9:2041731418776819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23E87939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Louis-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Ugbo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J, Murakami H, Kim HS, et al.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Evidence of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osteoinduction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by Grafton DBM in spinal fusion.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2004;29:360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-66.</w:t>
      </w:r>
    </w:p>
    <w:p w14:paraId="287F579A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Hsu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WK,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Polavarapu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Riaz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R, et al.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Nanocomposite therapy vs rhBMP-2 in rodent arthrodesis model.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2011;29(12):1812-19.</w:t>
      </w:r>
    </w:p>
    <w:p w14:paraId="385064E5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Peterson B, Whang PG, Iglesias R, et al.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Osteoinductivity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of commercially available DBM preparations.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Joint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Am. 2004;86-</w:t>
      </w:r>
      <w:proofErr w:type="gram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A(</w:t>
      </w:r>
      <w:proofErr w:type="gram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10):2243-50.</w:t>
      </w:r>
    </w:p>
    <w:p w14:paraId="7F3B76A3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Lee YP, Jo M, Luna M, et al. Efficacy of DBM substances in rat model.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Spinal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Tech. 2005;18(5):439-44.</w:t>
      </w:r>
    </w:p>
    <w:p w14:paraId="27433610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LeGeros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RZ. Properties of osteoconductive biomaterials: calcium phosphates.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2002;(395):81-98.</w:t>
      </w:r>
    </w:p>
    <w:p w14:paraId="587DDE8D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Tadjoedin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ES, de Lange GL,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Lyaruu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DM, et al.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Closure of extraction sockets with bioactive glass.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Oral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Maxillofac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. 2003;61(11):1287-95.</w:t>
      </w:r>
    </w:p>
    <w:p w14:paraId="6FCF9FC9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Hulbert SF, Young FA, Mathews RS, et al.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Ceramic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materials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as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skeletal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prostheses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Biomed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Mater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1970;4(3):433-56.</w:t>
      </w:r>
    </w:p>
    <w:p w14:paraId="0B31D6B0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Yoshikawa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H,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Tamai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N,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Murase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T, et al. </w:t>
      </w:r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Porous HA ceramics for bone tissue engineering.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R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Soc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Interface. 2009;6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Suppl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3:S341-48.</w:t>
      </w:r>
    </w:p>
    <w:p w14:paraId="1205CA60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Ohgushi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H, Goldberg VM, Caplan AI.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Heterotopic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osteogenesis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in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porous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ceramics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. 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1989;7(4):568-78.</w:t>
      </w:r>
    </w:p>
    <w:p w14:paraId="03316D57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Muschler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GF, Raut VP, Patterson TE, et al. Animal models for translational research in bone tissue engineering.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Tissue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Eng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Part B Rev. 2010;16(1):123-45.</w:t>
      </w:r>
    </w:p>
    <w:p w14:paraId="1A3C5961" w14:textId="77777777" w:rsidR="00ED171C" w:rsidRPr="00ED171C" w:rsidRDefault="00ED171C" w:rsidP="00ED171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>Muschler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GF, Nitto H, Boehm CA, et al. Age- and gender-related changes in bone marrow cellularity. 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 Res. 2001;19(1):117-25.</w:t>
      </w:r>
    </w:p>
    <w:p w14:paraId="046535E0" w14:textId="77777777" w:rsidR="00ED171C" w:rsidRPr="00ED171C" w:rsidRDefault="00BB1F87" w:rsidP="00ED171C">
      <w:pPr>
        <w:rPr>
          <w:rFonts w:ascii="Times New Roman" w:eastAsia="Times New Roman" w:hAnsi="Times New Roman" w:cs="Times New Roman"/>
          <w:lang w:eastAsia="pt-BR"/>
        </w:rPr>
      </w:pPr>
      <w:r w:rsidRPr="00ED171C">
        <w:rPr>
          <w:rFonts w:ascii="Times New Roman" w:eastAsia="Times New Roman" w:hAnsi="Times New Roman" w:cs="Times New Roman"/>
          <w:noProof/>
          <w:lang w:eastAsia="pt-BR"/>
        </w:rPr>
        <w:pict w14:anchorId="291A6BC8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39D07A2A" w14:textId="77777777" w:rsidR="00ED171C" w:rsidRPr="00ED171C" w:rsidRDefault="00ED171C" w:rsidP="00ED171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0DEB620C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Artrodese, enxertos e substitutos ósseos | Tratado</w:t>
      </w:r>
    </w:p>
    <w:p w14:paraId="1A1D1019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 Entenda a biologia da artrodese, as propriedades dos enxertos e o uso de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 aloenxerto, DBM, BMP e cerâmicas no planejamento da fusão vertebral.</w:t>
      </w:r>
    </w:p>
    <w:p w14:paraId="67FF4939" w14:textId="77777777" w:rsidR="00ED171C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Resumo de chamada: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 xml:space="preserve"> Síntese dos pilares biológicos e mecânicos da artrodese e da seleção de </w:t>
      </w:r>
      <w:proofErr w:type="spellStart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autoenxerto</w:t>
      </w:r>
      <w:proofErr w:type="spellEnd"/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, aloenxerto, aspirado de medula, DBM, BMP e cerâmicas.</w:t>
      </w:r>
    </w:p>
    <w:p w14:paraId="33271593" w14:textId="0F999CC6" w:rsidR="003C2187" w:rsidRPr="00ED171C" w:rsidRDefault="00ED171C" w:rsidP="00ED171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ED171C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ED171C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 w:rsidRPr="00ED171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artrodese-enxertos-substitutos-</w:t>
      </w:r>
      <w:proofErr w:type="spellStart"/>
      <w:r w:rsidRPr="00ED171C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osseos</w:t>
      </w:r>
      <w:proofErr w:type="spellEnd"/>
    </w:p>
    <w:sectPr w:rsidR="003C2187" w:rsidRPr="00ED171C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A20"/>
    <w:multiLevelType w:val="multilevel"/>
    <w:tmpl w:val="7EA0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340F6"/>
    <w:multiLevelType w:val="multilevel"/>
    <w:tmpl w:val="CC5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17E13"/>
    <w:multiLevelType w:val="multilevel"/>
    <w:tmpl w:val="F220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597502">
    <w:abstractNumId w:val="2"/>
  </w:num>
  <w:num w:numId="2" w16cid:durableId="454373188">
    <w:abstractNumId w:val="0"/>
  </w:num>
  <w:num w:numId="3" w16cid:durableId="261883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C"/>
    <w:rsid w:val="000D7E60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A50355"/>
    <w:rsid w:val="00A96B78"/>
    <w:rsid w:val="00B702F2"/>
    <w:rsid w:val="00BB1F87"/>
    <w:rsid w:val="00C20A44"/>
    <w:rsid w:val="00C62276"/>
    <w:rsid w:val="00D973F4"/>
    <w:rsid w:val="00E34133"/>
    <w:rsid w:val="00E86052"/>
    <w:rsid w:val="00ED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D6B6"/>
  <w15:chartTrackingRefBased/>
  <w15:docId w15:val="{D5AA24F9-B27E-E448-8150-796F3A1A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D17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D17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D17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71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D171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D171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D171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ED171C"/>
    <w:rPr>
      <w:b/>
      <w:bCs/>
    </w:rPr>
  </w:style>
  <w:style w:type="character" w:customStyle="1" w:styleId="apple-converted-space">
    <w:name w:val="apple-converted-space"/>
    <w:basedOn w:val="Fontepargpadro"/>
    <w:rsid w:val="00ED171C"/>
  </w:style>
  <w:style w:type="character" w:styleId="nfase">
    <w:name w:val="Emphasis"/>
    <w:basedOn w:val="Fontepargpadro"/>
    <w:uiPriority w:val="20"/>
    <w:qFormat/>
    <w:rsid w:val="00ED171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ED17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2548</Words>
  <Characters>13760</Characters>
  <Application>Microsoft Office Word</Application>
  <DocSecurity>0</DocSecurity>
  <Lines>114</Lines>
  <Paragraphs>32</Paragraphs>
  <ScaleCrop>false</ScaleCrop>
  <Company/>
  <LinksUpToDate>false</LinksUpToDate>
  <CharactersWithSpaces>16276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2026-08-19T02:53:00Z</dcterms:created>
  <dcterms:modified xsi:type="dcterms:W3CDTF">2026-08-19T02:56:00Z</dcterms:modified>
</cp:coreProperties>
</file>