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1141B" w14:textId="50F5BAEE" w:rsidR="00545810" w:rsidRPr="00545810" w:rsidRDefault="00545810" w:rsidP="005458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 xml:space="preserve">Capítulo 11 — </w:t>
      </w:r>
      <w:proofErr w:type="spellStart"/>
      <w:r w:rsidRPr="0054581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Disrafismo</w:t>
      </w:r>
      <w:proofErr w:type="spellEnd"/>
      <w:r w:rsidRPr="0054581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 xml:space="preserve"> Espinhal — Defeitos do Tubo Neural </w:t>
      </w:r>
    </w:p>
    <w:p w14:paraId="655D28F9" w14:textId="77777777" w:rsidR="00545810" w:rsidRPr="00545810" w:rsidRDefault="00545810" w:rsidP="005458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Identificação</w:t>
      </w:r>
    </w:p>
    <w:p w14:paraId="41F9B824" w14:textId="3B0BDBA2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Número do capítulo: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 11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completo: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Disrafismo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Espinhal — Defeitos do Tubo Neural (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DTNs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)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Seção do Tratado: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r>
        <w:rPr>
          <w:rFonts w:ascii="Times New Roman" w:eastAsia="Times New Roman" w:hAnsi="Times New Roman" w:cs="Times New Roman"/>
          <w:color w:val="000000"/>
          <w:lang w:eastAsia="pt-BR"/>
        </w:rPr>
        <w:t>1</w:t>
      </w:r>
    </w:p>
    <w:p w14:paraId="241A1532" w14:textId="77777777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Autor</w:t>
      </w:r>
    </w:p>
    <w:p w14:paraId="17ABEA05" w14:textId="77777777" w:rsidR="00545810" w:rsidRPr="00545810" w:rsidRDefault="00545810" w:rsidP="005458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Márcio Vinhal de Carvalho</w:t>
      </w:r>
    </w:p>
    <w:p w14:paraId="393D86E7" w14:textId="77777777" w:rsidR="00545810" w:rsidRPr="00545810" w:rsidRDefault="004E7AF0" w:rsidP="00545810">
      <w:pPr>
        <w:rPr>
          <w:rFonts w:ascii="Times New Roman" w:eastAsia="Times New Roman" w:hAnsi="Times New Roman" w:cs="Times New Roman"/>
          <w:lang w:eastAsia="pt-BR"/>
        </w:rPr>
      </w:pPr>
      <w:r w:rsidRPr="00545810">
        <w:rPr>
          <w:rFonts w:ascii="Times New Roman" w:eastAsia="Times New Roman" w:hAnsi="Times New Roman" w:cs="Times New Roman"/>
          <w:noProof/>
          <w:lang w:eastAsia="pt-BR"/>
        </w:rPr>
        <w:pict w14:anchorId="54BF0F38">
          <v:rect id="_x0000_i1037" alt="" style="width:424.75pt;height:.05pt;mso-width-percent:0;mso-height-percent:0;mso-width-percent:0;mso-height-percent:0" o:hrpct="999" o:hralign="center" o:hrstd="t" o:hr="t" fillcolor="#a0a0a0" stroked="f"/>
        </w:pict>
      </w:r>
    </w:p>
    <w:p w14:paraId="086D1188" w14:textId="77777777" w:rsidR="00545810" w:rsidRPr="00545810" w:rsidRDefault="00545810" w:rsidP="005458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Contexto</w:t>
      </w:r>
    </w:p>
    <w:p w14:paraId="5B463811" w14:textId="77777777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Os defeitos do tubo neural (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DTNs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) resultam de alterações no fechamento embrionário do tubo neural e abrangem manifestações cranianas e espinhais com diferentes graus de comprometimento neurológico. Dentro desse espectro, o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disrafismo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espinhal corresponde às desordens congênitas da linha média dorsal que podem envolver pele, músculos, vértebras, meninges e sistema nervoso; já o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termo espinha bífida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, em sentido estrito, descreve o defeito de fusão dos elementos ósseos posteriores. O capítulo diferencia lesões abertas, relacionadas à interrupção da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neurulação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primária, de formas fechadas, mais associadas a alterações da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neurulação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secundária e à medula presa. Também aborda a etiologia multifatorial, na qual suscetibilidade genética, estado nutricional materno, comorbidades, medicamentos e exposições ambientais interagem. A amplitude clínica — do diagnóstico pré-natal à manifestação tardia no adulto — exige prevenção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periconcepcional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, reconhecimento precoce e seguimento neurológico, urológico e ortopédico ao longo da vida.</w:t>
      </w:r>
    </w:p>
    <w:p w14:paraId="2FE1BDB7" w14:textId="77777777" w:rsidR="00545810" w:rsidRPr="00545810" w:rsidRDefault="004E7AF0" w:rsidP="00545810">
      <w:pPr>
        <w:rPr>
          <w:rFonts w:ascii="Times New Roman" w:eastAsia="Times New Roman" w:hAnsi="Times New Roman" w:cs="Times New Roman"/>
          <w:lang w:eastAsia="pt-BR"/>
        </w:rPr>
      </w:pPr>
      <w:r w:rsidRPr="00545810">
        <w:rPr>
          <w:rFonts w:ascii="Times New Roman" w:eastAsia="Times New Roman" w:hAnsi="Times New Roman" w:cs="Times New Roman"/>
          <w:noProof/>
          <w:lang w:eastAsia="pt-BR"/>
        </w:rPr>
        <w:pict w14:anchorId="40B7ABCA">
          <v:rect id="_x0000_i1036" alt="" style="width:424.75pt;height:.05pt;mso-width-percent:0;mso-height-percent:0;mso-width-percent:0;mso-height-percent:0" o:hrpct="999" o:hralign="center" o:hrstd="t" o:hr="t" fillcolor="#a0a0a0" stroked="f"/>
        </w:pict>
      </w:r>
    </w:p>
    <w:p w14:paraId="0237F1A5" w14:textId="77777777" w:rsidR="00545810" w:rsidRPr="00545810" w:rsidRDefault="00545810" w:rsidP="005458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Objetivo do capítulo</w:t>
      </w:r>
    </w:p>
    <w:p w14:paraId="373E0A74" w14:textId="77777777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Apresentar a embriologia e a classificação dos defeitos do tubo neural, distinguindo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neurulação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primária e secundária e formas abertas e fechadas. O capítulo busca capacitar o leitor a reconhecer fatores de risco nutricionais, genéticos, metabólicos, medicamentosos e ambientais; compreender medidas preventivas e possibilidades de manejo pré-natal e pós-natal; e identificar manifestações clínicas e necessidades de acompanhamento na infância e na vida adulta.</w:t>
      </w:r>
    </w:p>
    <w:p w14:paraId="6223D0DE" w14:textId="77777777" w:rsidR="00545810" w:rsidRPr="00545810" w:rsidRDefault="004E7AF0" w:rsidP="00545810">
      <w:pPr>
        <w:rPr>
          <w:rFonts w:ascii="Times New Roman" w:eastAsia="Times New Roman" w:hAnsi="Times New Roman" w:cs="Times New Roman"/>
          <w:lang w:eastAsia="pt-BR"/>
        </w:rPr>
      </w:pPr>
      <w:r w:rsidRPr="00545810">
        <w:rPr>
          <w:rFonts w:ascii="Times New Roman" w:eastAsia="Times New Roman" w:hAnsi="Times New Roman" w:cs="Times New Roman"/>
          <w:noProof/>
          <w:lang w:eastAsia="pt-BR"/>
        </w:rPr>
        <w:pict w14:anchorId="61464A0F">
          <v:rect id="_x0000_i1035" alt="" style="width:424.75pt;height:.05pt;mso-width-percent:0;mso-height-percent:0;mso-width-percent:0;mso-height-percent:0" o:hrpct="999" o:hralign="center" o:hrstd="t" o:hr="t" fillcolor="#a0a0a0" stroked="f"/>
        </w:pict>
      </w:r>
    </w:p>
    <w:p w14:paraId="1310C57E" w14:textId="77777777" w:rsidR="00545810" w:rsidRPr="00545810" w:rsidRDefault="00545810" w:rsidP="005458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Conteúdo principal</w:t>
      </w:r>
    </w:p>
    <w:p w14:paraId="05753B62" w14:textId="77777777" w:rsidR="00545810" w:rsidRPr="00545810" w:rsidRDefault="00545810" w:rsidP="005458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lastRenderedPageBreak/>
        <w:t>Neurulação</w:t>
      </w:r>
      <w:proofErr w:type="spellEnd"/>
      <w:r w:rsidRPr="0054581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 xml:space="preserve"> e topografia das lesões</w:t>
      </w:r>
    </w:p>
    <w:p w14:paraId="7D73D273" w14:textId="77777777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Na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neurulação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primária, a placa neural prolifera, invagina-se e se desprende da superfície, formando um tubo oco. O fechamento ocorre ao longo do eixo embrionário, mantendo temporariamente os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neuróporos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anterior e posterior. Segundo o capítulo, a falha do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neuroporo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posterior por volta do 27º dia relaciona-se à espinha bífida; a falha anterior, à anencefalia; e a ausência extensa de fechamento, à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cranioraquisquise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. A Figura 1, nas páginas 4–5 do arquivo, representa a formação da placa, das pregas e do tubo neural. A Figura 2, na página 5, relaciona os locais de fechamento aos diferentes defeitos.</w:t>
      </w:r>
    </w:p>
    <w:p w14:paraId="5F5D7A4A" w14:textId="77777777" w:rsidR="00545810" w:rsidRPr="00545810" w:rsidRDefault="00545810" w:rsidP="005458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Neurulação</w:t>
      </w:r>
      <w:proofErr w:type="spellEnd"/>
      <w:r w:rsidRPr="0054581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 xml:space="preserve"> secundária e </w:t>
      </w:r>
      <w:proofErr w:type="spellStart"/>
      <w:r w:rsidRPr="0054581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disrafismo</w:t>
      </w:r>
      <w:proofErr w:type="spellEnd"/>
      <w:r w:rsidRPr="0054581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 xml:space="preserve"> fechado</w:t>
      </w:r>
    </w:p>
    <w:p w14:paraId="2029541C" w14:textId="77777777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A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neurulação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secundária ocorre pela cavitação de um cordão celular sólido e progride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caudalmente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nas regiões sacral e coccígea. Alterações nesse processo são associadas no capítulo às formas fechadas de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disrafismo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e à síndrome da medula presa. Nessas condições, a medula permanece fixada por aderências ou componentes lipomatosos, podendo haver apresentação pouco sintomática na infância e deterioração posterior.</w:t>
      </w:r>
    </w:p>
    <w:p w14:paraId="6C8C66DF" w14:textId="77777777" w:rsidR="00545810" w:rsidRPr="00545810" w:rsidRDefault="00545810" w:rsidP="005458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Classificação e espectro clínico</w:t>
      </w:r>
    </w:p>
    <w:p w14:paraId="61537BC3" w14:textId="77777777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As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DTNs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abertas incluem anencefalia,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mielomeningocele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e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cranioraquisquise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e decorrem de interrupção da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neurulação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primária. Nas formas espinhais abertas, o tecido neural exposto associa-se a perda ou comprometimento da função abaixo da lesão. As formas fechadas abrangem desde espinha bífida oculta até amarração medular relevante. O capítulo ressalta que “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disrafismo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” é um conceito mais amplo que “espinha bífida”, pois pode envolver tecidos cutâneos, musculares, ósseos, meníngeos e neurais.</w:t>
      </w:r>
    </w:p>
    <w:p w14:paraId="5ABFC054" w14:textId="77777777" w:rsidR="00545810" w:rsidRPr="00545810" w:rsidRDefault="00545810" w:rsidP="005458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Etiologia multifatorial</w:t>
      </w:r>
    </w:p>
    <w:p w14:paraId="09424437" w14:textId="77777777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O modelo apresentado combina fatores genéticos e ambientais. O texto discute variantes relacionadas ao metabolismo do folato, à via não canônica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Wnt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e à homeostase da glicose, destacando que predisposição genética isolada não determina necessariamente a ocorrência da malformação. Entre os fatores modificáveis ou exposições associadas, são abordados deficiência de folato, diabetes e obesidade maternas, ácido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valproico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e outros medicamentos, hipertermia, hidrocarbonetos aromáticos policíclicos, arsênico e pesticidas. Como grande parte da evidência citada provém de estudos observacionais ou modelos animais, as associações são apresentadas sem atribuição causal automática.</w:t>
      </w:r>
    </w:p>
    <w:p w14:paraId="4E3FA275" w14:textId="77777777" w:rsidR="00545810" w:rsidRPr="00545810" w:rsidRDefault="00545810" w:rsidP="005458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Prevenção, manejo e seguimento</w:t>
      </w:r>
    </w:p>
    <w:p w14:paraId="7A485058" w14:textId="77777777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O ácido fólico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periconcepcional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é a principal estratégia preventiva discutida. O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inositol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aparece como adjuvante potencial, sustentado por estudos limitados e modelos experimentais. O diagnóstico pré-natal por ultrassom permite planejar o parto e discutir cirurgia fetal em casos selecionados, reconhecendo riscos maternos e fetais. Após o nascimento, o fechamento precoce das lesões abertas e o acompanhamento das complicações neurológicas, urológicas e ortopédicas estruturam o cuidado.</w:t>
      </w:r>
    </w:p>
    <w:p w14:paraId="433F4B1C" w14:textId="77777777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 xml:space="preserve">Na vida adulta, o capítulo recomenda considerar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disrafismo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ou medula presa diante de estigmas cutâneos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lombossacros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, fraqueza, alterações da marcha, déficit sensitivo, deformidades, dor incomum e disfunção esfincteriana. O quadro de achados clínicos, na página 16 do arquivo, reúne manifestações cutâneas, motoras, sensitivas, vesicais e deformidades da coluna. Sequenciamento de nova geração, terapias celulares, andaimes biodegradáveis e aprimoramento da cirurgia fetal são apresentados como frentes futuras.</w:t>
      </w:r>
    </w:p>
    <w:p w14:paraId="6E3156D9" w14:textId="77777777" w:rsidR="00545810" w:rsidRPr="00545810" w:rsidRDefault="004E7AF0" w:rsidP="00545810">
      <w:pPr>
        <w:rPr>
          <w:rFonts w:ascii="Times New Roman" w:eastAsia="Times New Roman" w:hAnsi="Times New Roman" w:cs="Times New Roman"/>
          <w:lang w:eastAsia="pt-BR"/>
        </w:rPr>
      </w:pPr>
      <w:r w:rsidRPr="00545810">
        <w:rPr>
          <w:rFonts w:ascii="Times New Roman" w:eastAsia="Times New Roman" w:hAnsi="Times New Roman" w:cs="Times New Roman"/>
          <w:noProof/>
          <w:lang w:eastAsia="pt-BR"/>
        </w:rPr>
        <w:pict w14:anchorId="60940DF2">
          <v:rect id="_x0000_i1034" alt="" style="width:424.75pt;height:.05pt;mso-width-percent:0;mso-height-percent:0;mso-width-percent:0;mso-height-percent:0" o:hrpct="999" o:hralign="center" o:hrstd="t" o:hr="t" fillcolor="#a0a0a0" stroked="f"/>
        </w:pict>
      </w:r>
    </w:p>
    <w:p w14:paraId="75DDAF53" w14:textId="77777777" w:rsidR="00545810" w:rsidRPr="00545810" w:rsidRDefault="00545810" w:rsidP="005458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Aplicação clínica</w:t>
      </w:r>
    </w:p>
    <w:p w14:paraId="549C03F4" w14:textId="77777777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Na prática clínica, a primeira decisão é definir se a alteração pertence ao espectro aberto ou fechado. Nas formas abertas, a exposição do tecido neural, o risco de infecção e o comprometimento neurológico orientam diagnóstico pré-natal, encaminhamento a centro especializado e discussão do momento do reparo. Nas formas fechadas, estigmas cutâneos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lombossacros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, alterações da marcha, fraqueza, deformidades dos membros inferiores, déficit sensitivo, dor atípica ou disfunção vesical devem levantar a hipótese de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disrafismo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oculto ou síndrome da medula presa.</w:t>
      </w:r>
    </w:p>
    <w:p w14:paraId="00508AC6" w14:textId="77777777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O capítulo reforça que o cuidado não termina com o fechamento da lesão. Avaliação urológica, preservação do esvaziamento vesical e vigilância da função renal integram o seguimento, assim como a avaliação ortopédica de escoliose, cifose, deformidades dos quadris e alterações da marcha. Em adultos, sintomas antigos ou progressivos não devem ser atribuídos automaticamente à doença degenerativa da coluna.</w:t>
      </w:r>
    </w:p>
    <w:p w14:paraId="2CE88D52" w14:textId="77777777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No aconselhamento preventivo, o texto enfatiza ácido fólico no período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periconcepcional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, controle de diabetes e obesidade e revisão de medicamentos e exposições potencialmente teratogênicas. O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inositol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, as terapias celulares e os biomateriais são apresentados como possibilidades em investigação, e não como substitutos das estratégias estabelecidas.</w:t>
      </w:r>
    </w:p>
    <w:p w14:paraId="70824FE4" w14:textId="77777777" w:rsidR="00545810" w:rsidRPr="00545810" w:rsidRDefault="004E7AF0" w:rsidP="00545810">
      <w:pPr>
        <w:rPr>
          <w:rFonts w:ascii="Times New Roman" w:eastAsia="Times New Roman" w:hAnsi="Times New Roman" w:cs="Times New Roman"/>
          <w:lang w:eastAsia="pt-BR"/>
        </w:rPr>
      </w:pPr>
      <w:r w:rsidRPr="00545810">
        <w:rPr>
          <w:rFonts w:ascii="Times New Roman" w:eastAsia="Times New Roman" w:hAnsi="Times New Roman" w:cs="Times New Roman"/>
          <w:noProof/>
          <w:lang w:eastAsia="pt-BR"/>
        </w:rPr>
        <w:pict w14:anchorId="2AE7D75B">
          <v:rect id="_x0000_i1033" alt="" style="width:424.75pt;height:.05pt;mso-width-percent:0;mso-height-percent:0;mso-width-percent:0;mso-height-percent:0" o:hrpct="999" o:hralign="center" o:hrstd="t" o:hr="t" fillcolor="#a0a0a0" stroked="f"/>
        </w:pict>
      </w:r>
    </w:p>
    <w:p w14:paraId="523FC288" w14:textId="77777777" w:rsidR="00545810" w:rsidRPr="00545810" w:rsidRDefault="00545810" w:rsidP="005458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Mensagem central</w:t>
      </w:r>
    </w:p>
    <w:p w14:paraId="7316BA0A" w14:textId="77777777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Os defeitos do tubo neural constituem um espectro determinado pelo momento e pelo local da falha de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neurulação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Sua expressão clínica resulta da interação entre predisposição genética e fatores ambientais e pode acompanhar o paciente desde o período fetal até a vida adulta. Prevenção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periconcepcional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, classificação correta da lesão, tratamento oportuno e vigilância multidisciplinar contínua são os eixos que organizam o cuidado.</w:t>
      </w:r>
    </w:p>
    <w:p w14:paraId="49EBFB48" w14:textId="77777777" w:rsidR="00545810" w:rsidRPr="00545810" w:rsidRDefault="004E7AF0" w:rsidP="00545810">
      <w:pPr>
        <w:rPr>
          <w:rFonts w:ascii="Times New Roman" w:eastAsia="Times New Roman" w:hAnsi="Times New Roman" w:cs="Times New Roman"/>
          <w:lang w:eastAsia="pt-BR"/>
        </w:rPr>
      </w:pPr>
      <w:r w:rsidRPr="00545810">
        <w:rPr>
          <w:rFonts w:ascii="Times New Roman" w:eastAsia="Times New Roman" w:hAnsi="Times New Roman" w:cs="Times New Roman"/>
          <w:noProof/>
          <w:lang w:eastAsia="pt-BR"/>
        </w:rPr>
        <w:pict w14:anchorId="1B3D7AC1">
          <v:rect id="_x0000_i1032" alt="" style="width:424.75pt;height:.05pt;mso-width-percent:0;mso-height-percent:0;mso-width-percent:0;mso-height-percent:0" o:hrpct="999" o:hralign="center" o:hrstd="t" o:hr="t" fillcolor="#a0a0a0" stroked="f"/>
        </w:pict>
      </w:r>
    </w:p>
    <w:p w14:paraId="7D13D77D" w14:textId="77777777" w:rsidR="00545810" w:rsidRPr="00545810" w:rsidRDefault="00545810" w:rsidP="00545810">
      <w:pPr>
        <w:spacing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Por que este capítulo importa</w:t>
      </w:r>
    </w:p>
    <w:p w14:paraId="7D3ECA8C" w14:textId="77777777" w:rsidR="00545810" w:rsidRPr="00545810" w:rsidRDefault="00545810" w:rsidP="00545810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Este capítulo conecta um evento embrionário precoce a problemas que podem permanecer por toda a vida. Diferenciar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neurulação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primária e secundária ajuda a compreender por que algumas lesões são abertas e imediatamente evidentes, enquanto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 xml:space="preserve">outras permanecem ocultas até surgirem alterações da marcha, dor, déficit neurológico ou disfunção vesical. A mesma leitura orienta prevenção, diagnóstico pré-natal, reparo neonatal, seleção de casos para cirurgia fetal e acompanhamento do adulto, evitando que manifestações de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disrafismo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sejam confundidas com doença degenerativa comum.</w:t>
      </w:r>
    </w:p>
    <w:p w14:paraId="6CED4BAD" w14:textId="77777777" w:rsidR="00545810" w:rsidRPr="00545810" w:rsidRDefault="004E7AF0" w:rsidP="00545810">
      <w:pPr>
        <w:rPr>
          <w:rFonts w:ascii="Times New Roman" w:eastAsia="Times New Roman" w:hAnsi="Times New Roman" w:cs="Times New Roman"/>
          <w:lang w:eastAsia="pt-BR"/>
        </w:rPr>
      </w:pPr>
      <w:r w:rsidRPr="00545810">
        <w:rPr>
          <w:rFonts w:ascii="Times New Roman" w:eastAsia="Times New Roman" w:hAnsi="Times New Roman" w:cs="Times New Roman"/>
          <w:noProof/>
          <w:lang w:eastAsia="pt-BR"/>
        </w:rPr>
        <w:pict w14:anchorId="209AF689">
          <v:rect id="_x0000_i1031" alt="" style="width:424.75pt;height:.05pt;mso-width-percent:0;mso-height-percent:0;mso-width-percent:0;mso-height-percent:0" o:hrpct="999" o:hralign="center" o:hrstd="t" o:hr="t" fillcolor="#a0a0a0" stroked="f"/>
        </w:pict>
      </w:r>
    </w:p>
    <w:p w14:paraId="667D1E90" w14:textId="77777777" w:rsidR="00545810" w:rsidRPr="00545810" w:rsidRDefault="00545810" w:rsidP="005458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Palavras-chave e descritores</w:t>
      </w:r>
    </w:p>
    <w:p w14:paraId="690A57BF" w14:textId="77777777" w:rsidR="00545810" w:rsidRPr="00545810" w:rsidRDefault="00545810" w:rsidP="005458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2088"/>
      </w:tblGrid>
      <w:tr w:rsidR="00545810" w:rsidRPr="00545810" w14:paraId="43936218" w14:textId="77777777" w:rsidTr="005458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527A2" w14:textId="77777777" w:rsidR="00545810" w:rsidRPr="00545810" w:rsidRDefault="00545810" w:rsidP="005458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54581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DeCS</w:t>
            </w:r>
            <w:proofErr w:type="spellEnd"/>
            <w:r w:rsidRPr="0054581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português</w:t>
            </w:r>
          </w:p>
        </w:tc>
        <w:tc>
          <w:tcPr>
            <w:tcW w:w="0" w:type="auto"/>
            <w:vAlign w:val="center"/>
            <w:hideMark/>
          </w:tcPr>
          <w:p w14:paraId="285E4540" w14:textId="77777777" w:rsidR="00545810" w:rsidRPr="00545810" w:rsidRDefault="00545810" w:rsidP="005458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54581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MeSH</w:t>
            </w:r>
            <w:proofErr w:type="spellEnd"/>
            <w:r w:rsidRPr="0054581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inglês</w:t>
            </w:r>
          </w:p>
        </w:tc>
      </w:tr>
      <w:tr w:rsidR="00545810" w:rsidRPr="00545810" w14:paraId="325BF778" w14:textId="77777777" w:rsidTr="00545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1541" w14:textId="77777777" w:rsidR="00545810" w:rsidRPr="00545810" w:rsidRDefault="00545810" w:rsidP="00545810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Defeitos do Tubo Neural</w:t>
            </w:r>
          </w:p>
        </w:tc>
        <w:tc>
          <w:tcPr>
            <w:tcW w:w="0" w:type="auto"/>
            <w:vAlign w:val="center"/>
            <w:hideMark/>
          </w:tcPr>
          <w:p w14:paraId="5E670C9E" w14:textId="77777777" w:rsidR="00545810" w:rsidRPr="00545810" w:rsidRDefault="00545810" w:rsidP="00545810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Neural Tube </w:t>
            </w:r>
            <w:proofErr w:type="spellStart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Defects</w:t>
            </w:r>
            <w:proofErr w:type="spellEnd"/>
          </w:p>
        </w:tc>
      </w:tr>
      <w:tr w:rsidR="00545810" w:rsidRPr="00545810" w14:paraId="3D43EA8A" w14:textId="77777777" w:rsidTr="00545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89EB" w14:textId="77777777" w:rsidR="00545810" w:rsidRPr="00545810" w:rsidRDefault="00545810" w:rsidP="00545810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Disrafismo</w:t>
            </w:r>
            <w:proofErr w:type="spellEnd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Espinal</w:t>
            </w:r>
          </w:p>
        </w:tc>
        <w:tc>
          <w:tcPr>
            <w:tcW w:w="0" w:type="auto"/>
            <w:vAlign w:val="center"/>
            <w:hideMark/>
          </w:tcPr>
          <w:p w14:paraId="4084AF3F" w14:textId="77777777" w:rsidR="00545810" w:rsidRPr="00545810" w:rsidRDefault="00545810" w:rsidP="00545810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Dysraphism</w:t>
            </w:r>
            <w:proofErr w:type="spellEnd"/>
          </w:p>
        </w:tc>
      </w:tr>
      <w:tr w:rsidR="00545810" w:rsidRPr="00545810" w14:paraId="3A0172E8" w14:textId="77777777" w:rsidTr="00545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98420" w14:textId="77777777" w:rsidR="00545810" w:rsidRPr="00545810" w:rsidRDefault="00545810" w:rsidP="00545810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Espinha Bífida Cística</w:t>
            </w:r>
          </w:p>
        </w:tc>
        <w:tc>
          <w:tcPr>
            <w:tcW w:w="0" w:type="auto"/>
            <w:vAlign w:val="center"/>
            <w:hideMark/>
          </w:tcPr>
          <w:p w14:paraId="439EB137" w14:textId="77777777" w:rsidR="00545810" w:rsidRPr="00545810" w:rsidRDefault="00545810" w:rsidP="00545810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</w:t>
            </w:r>
            <w:proofErr w:type="spellEnd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Bifida</w:t>
            </w:r>
            <w:proofErr w:type="spellEnd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Cystica</w:t>
            </w:r>
            <w:proofErr w:type="spellEnd"/>
          </w:p>
        </w:tc>
      </w:tr>
      <w:tr w:rsidR="00545810" w:rsidRPr="00545810" w14:paraId="6C1929D2" w14:textId="77777777" w:rsidTr="00545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205A5" w14:textId="77777777" w:rsidR="00545810" w:rsidRPr="00545810" w:rsidRDefault="00545810" w:rsidP="00545810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Espinha Bífida Oculta</w:t>
            </w:r>
          </w:p>
        </w:tc>
        <w:tc>
          <w:tcPr>
            <w:tcW w:w="0" w:type="auto"/>
            <w:vAlign w:val="center"/>
            <w:hideMark/>
          </w:tcPr>
          <w:p w14:paraId="36BF8334" w14:textId="77777777" w:rsidR="00545810" w:rsidRPr="00545810" w:rsidRDefault="00545810" w:rsidP="00545810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</w:t>
            </w:r>
            <w:proofErr w:type="spellEnd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Bifida</w:t>
            </w:r>
            <w:proofErr w:type="spellEnd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Occulta</w:t>
            </w:r>
            <w:proofErr w:type="spellEnd"/>
          </w:p>
        </w:tc>
      </w:tr>
      <w:tr w:rsidR="00545810" w:rsidRPr="00545810" w14:paraId="143A7DAA" w14:textId="77777777" w:rsidTr="00545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4584" w14:textId="77777777" w:rsidR="00545810" w:rsidRPr="00545810" w:rsidRDefault="00545810" w:rsidP="00545810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Meningomielocele</w:t>
            </w:r>
          </w:p>
        </w:tc>
        <w:tc>
          <w:tcPr>
            <w:tcW w:w="0" w:type="auto"/>
            <w:vAlign w:val="center"/>
            <w:hideMark/>
          </w:tcPr>
          <w:p w14:paraId="1A85A5E8" w14:textId="77777777" w:rsidR="00545810" w:rsidRPr="00545810" w:rsidRDefault="00545810" w:rsidP="00545810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Meningomyelocele</w:t>
            </w:r>
            <w:proofErr w:type="spellEnd"/>
          </w:p>
        </w:tc>
      </w:tr>
      <w:tr w:rsidR="00545810" w:rsidRPr="00545810" w14:paraId="653A3FF6" w14:textId="77777777" w:rsidTr="00545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A812" w14:textId="77777777" w:rsidR="00545810" w:rsidRPr="00545810" w:rsidRDefault="00545810" w:rsidP="00545810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Neurulação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36EB0" w14:textId="77777777" w:rsidR="00545810" w:rsidRPr="00545810" w:rsidRDefault="00545810" w:rsidP="00545810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Neurulation</w:t>
            </w:r>
            <w:proofErr w:type="spellEnd"/>
          </w:p>
        </w:tc>
      </w:tr>
      <w:tr w:rsidR="00545810" w:rsidRPr="00545810" w14:paraId="3152B82D" w14:textId="77777777" w:rsidTr="00545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49B1C" w14:textId="77777777" w:rsidR="00545810" w:rsidRPr="00545810" w:rsidRDefault="00545810" w:rsidP="00545810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Ácido Fólico</w:t>
            </w:r>
          </w:p>
        </w:tc>
        <w:tc>
          <w:tcPr>
            <w:tcW w:w="0" w:type="auto"/>
            <w:vAlign w:val="center"/>
            <w:hideMark/>
          </w:tcPr>
          <w:p w14:paraId="59AF335F" w14:textId="77777777" w:rsidR="00545810" w:rsidRPr="00545810" w:rsidRDefault="00545810" w:rsidP="00545810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Folic</w:t>
            </w:r>
            <w:proofErr w:type="spellEnd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Acid</w:t>
            </w:r>
            <w:proofErr w:type="spellEnd"/>
          </w:p>
        </w:tc>
      </w:tr>
      <w:tr w:rsidR="00545810" w:rsidRPr="00545810" w14:paraId="5D9EC6F2" w14:textId="77777777" w:rsidTr="00545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6911" w14:textId="77777777" w:rsidR="00545810" w:rsidRPr="00545810" w:rsidRDefault="00545810" w:rsidP="00545810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Diagnóstico Pré-Natal</w:t>
            </w:r>
          </w:p>
        </w:tc>
        <w:tc>
          <w:tcPr>
            <w:tcW w:w="0" w:type="auto"/>
            <w:vAlign w:val="center"/>
            <w:hideMark/>
          </w:tcPr>
          <w:p w14:paraId="6C7B9F65" w14:textId="77777777" w:rsidR="00545810" w:rsidRPr="00545810" w:rsidRDefault="00545810" w:rsidP="00545810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Prenatal</w:t>
            </w:r>
            <w:proofErr w:type="spellEnd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54581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Diagnosis</w:t>
            </w:r>
            <w:proofErr w:type="spellEnd"/>
          </w:p>
        </w:tc>
      </w:tr>
    </w:tbl>
    <w:p w14:paraId="576D11B4" w14:textId="77777777" w:rsidR="00545810" w:rsidRPr="00545810" w:rsidRDefault="00545810" w:rsidP="005458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Palavras-chave livres adicionais</w:t>
      </w:r>
    </w:p>
    <w:p w14:paraId="0E4D1B22" w14:textId="7114FE0C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Neurulação</w:t>
      </w:r>
      <w:proofErr w:type="spellEnd"/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primária; </w:t>
      </w:r>
      <w:proofErr w:type="spellStart"/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neurulação</w:t>
      </w:r>
      <w:proofErr w:type="spellEnd"/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secundária; fechamento dos </w:t>
      </w:r>
      <w:proofErr w:type="spellStart"/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neuróporos</w:t>
      </w:r>
      <w:proofErr w:type="spellEnd"/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; cirurgia fetal para espinha bífida; interação gene-ambiente; </w:t>
      </w:r>
      <w:proofErr w:type="spellStart"/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inositol</w:t>
      </w:r>
      <w:proofErr w:type="spellEnd"/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; estigmas cutâneos </w:t>
      </w:r>
      <w:proofErr w:type="spellStart"/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lombossacros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; </w:t>
      </w:r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Síndrome da Medula Presa</w:t>
      </w:r>
      <w:r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, </w:t>
      </w:r>
      <w:proofErr w:type="spellStart"/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Mielomeningocele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; </w:t>
      </w:r>
      <w:proofErr w:type="spellStart"/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Disrafismo</w:t>
      </w:r>
      <w:proofErr w:type="spellEnd"/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Espinhal</w:t>
      </w:r>
    </w:p>
    <w:p w14:paraId="3F169AAE" w14:textId="77777777" w:rsidR="00545810" w:rsidRPr="00545810" w:rsidRDefault="004E7AF0" w:rsidP="00545810">
      <w:pPr>
        <w:rPr>
          <w:rFonts w:ascii="Times New Roman" w:eastAsia="Times New Roman" w:hAnsi="Times New Roman" w:cs="Times New Roman"/>
          <w:lang w:eastAsia="pt-BR"/>
        </w:rPr>
      </w:pPr>
      <w:r w:rsidRPr="00545810">
        <w:rPr>
          <w:rFonts w:ascii="Times New Roman" w:eastAsia="Times New Roman" w:hAnsi="Times New Roman" w:cs="Times New Roman"/>
          <w:noProof/>
          <w:lang w:eastAsia="pt-BR"/>
        </w:rPr>
        <w:pict w14:anchorId="73F0B6FD">
          <v:rect id="_x0000_i1030" alt="" style="width:424.75pt;height:.05pt;mso-width-percent:0;mso-height-percent:0;mso-width-percent:0;mso-height-percent:0" o:hrpct="999" o:hralign="center" o:hrstd="t" o:hr="t" fillcolor="#a0a0a0" stroked="f"/>
        </w:pict>
      </w:r>
    </w:p>
    <w:p w14:paraId="6138C8F2" w14:textId="77777777" w:rsidR="00545810" w:rsidRPr="00545810" w:rsidRDefault="00545810" w:rsidP="005458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Três cards de destaque</w:t>
      </w:r>
    </w:p>
    <w:p w14:paraId="5A81CD8B" w14:textId="77777777" w:rsidR="00545810" w:rsidRPr="00545810" w:rsidRDefault="00545810" w:rsidP="005458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1 — Conceito essencial</w:t>
      </w:r>
    </w:p>
    <w:p w14:paraId="40B74156" w14:textId="77777777" w:rsidR="00545810" w:rsidRPr="00545810" w:rsidRDefault="00545810" w:rsidP="005458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 xml:space="preserve">A </w:t>
      </w:r>
      <w:proofErr w:type="spellStart"/>
      <w:r w:rsidRPr="0054581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neurulação</w:t>
      </w:r>
      <w:proofErr w:type="spellEnd"/>
      <w:r w:rsidRPr="0054581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 xml:space="preserve"> define o padrão</w:t>
      </w:r>
    </w:p>
    <w:p w14:paraId="5152530A" w14:textId="77777777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A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neurulação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primária forma o tubo neural pela dobra e fusão da placa neural; sua interrupção produz as formas abertas. A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neurulação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secundária forma a porção caudal por cavitação de um cordão celular e relaciona-se às formas fechadas e à medula presa. O mecanismo embrionário ajuda a organizar a classificação clínica.</w:t>
      </w:r>
    </w:p>
    <w:p w14:paraId="5E487575" w14:textId="77777777" w:rsidR="00545810" w:rsidRPr="00545810" w:rsidRDefault="004E7AF0" w:rsidP="00545810">
      <w:pPr>
        <w:rPr>
          <w:rFonts w:ascii="Times New Roman" w:eastAsia="Times New Roman" w:hAnsi="Times New Roman" w:cs="Times New Roman"/>
          <w:lang w:eastAsia="pt-BR"/>
        </w:rPr>
      </w:pPr>
      <w:r w:rsidRPr="00545810">
        <w:rPr>
          <w:rFonts w:ascii="Times New Roman" w:eastAsia="Times New Roman" w:hAnsi="Times New Roman" w:cs="Times New Roman"/>
          <w:noProof/>
          <w:lang w:eastAsia="pt-BR"/>
        </w:rPr>
        <w:pict w14:anchorId="74A90437"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14:paraId="1CCEE6A4" w14:textId="77777777" w:rsidR="00545810" w:rsidRPr="00545810" w:rsidRDefault="00545810" w:rsidP="005458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2 — Decisão clínica</w:t>
      </w:r>
    </w:p>
    <w:p w14:paraId="4872F2F3" w14:textId="77777777" w:rsidR="00545810" w:rsidRPr="00545810" w:rsidRDefault="00545810" w:rsidP="005458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lastRenderedPageBreak/>
        <w:t>Aberto ou fechado primeiro</w:t>
      </w:r>
    </w:p>
    <w:p w14:paraId="7CDF3827" w14:textId="77777777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Definir se o defeito é aberto ou fechado orienta risco, urgência e seguimento. Lesões abertas expõem o tecido neural e exigem planejamento pré-natal e reparo oportuno. Lesões fechadas podem permanecer discretas, mas devem ser investigadas quando há estigmas cutâneos, fraqueza, alteração da marcha ou disfunção vesical.</w:t>
      </w:r>
    </w:p>
    <w:p w14:paraId="1A7A353E" w14:textId="77777777" w:rsidR="00545810" w:rsidRPr="00545810" w:rsidRDefault="004E7AF0" w:rsidP="00545810">
      <w:pPr>
        <w:rPr>
          <w:rFonts w:ascii="Times New Roman" w:eastAsia="Times New Roman" w:hAnsi="Times New Roman" w:cs="Times New Roman"/>
          <w:lang w:eastAsia="pt-BR"/>
        </w:rPr>
      </w:pPr>
      <w:r w:rsidRPr="00545810">
        <w:rPr>
          <w:rFonts w:ascii="Times New Roman" w:eastAsia="Times New Roman" w:hAnsi="Times New Roman" w:cs="Times New Roman"/>
          <w:noProof/>
          <w:lang w:eastAsia="pt-BR"/>
        </w:rPr>
        <w:pict w14:anchorId="13139903">
          <v:rect id="_x0000_i1028" alt="" style="width:424.75pt;height:.05pt;mso-width-percent:0;mso-height-percent:0;mso-width-percent:0;mso-height-percent:0" o:hrpct="999" o:hralign="center" o:hrstd="t" o:hr="t" fillcolor="#a0a0a0" stroked="f"/>
        </w:pict>
      </w:r>
    </w:p>
    <w:p w14:paraId="5D5955C7" w14:textId="77777777" w:rsidR="00545810" w:rsidRPr="00545810" w:rsidRDefault="00545810" w:rsidP="005458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3 — Pérola ou alerta</w:t>
      </w:r>
    </w:p>
    <w:p w14:paraId="473C8D5B" w14:textId="77777777" w:rsidR="00545810" w:rsidRPr="00545810" w:rsidRDefault="00545810" w:rsidP="005458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A vigilância não termina</w:t>
      </w:r>
    </w:p>
    <w:p w14:paraId="7907C2A2" w14:textId="77777777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Pacientes operados na infância e adultos com formas ocultas podem apresentar amarração tardia, deterioração neurológica e disfunção urinária. Concentrar o acompanhamento apenas no componente neurológico pode permitir dano renal, progressão de deformidades e perda funcional. A vigilância deve integrar neurocirurgia, urologia e ortopedia.</w:t>
      </w:r>
    </w:p>
    <w:p w14:paraId="39C2B43E" w14:textId="77777777" w:rsidR="00545810" w:rsidRPr="00545810" w:rsidRDefault="004E7AF0" w:rsidP="00545810">
      <w:pPr>
        <w:rPr>
          <w:rFonts w:ascii="Times New Roman" w:eastAsia="Times New Roman" w:hAnsi="Times New Roman" w:cs="Times New Roman"/>
          <w:lang w:eastAsia="pt-BR"/>
        </w:rPr>
      </w:pPr>
      <w:r w:rsidRPr="00545810">
        <w:rPr>
          <w:rFonts w:ascii="Times New Roman" w:eastAsia="Times New Roman" w:hAnsi="Times New Roman" w:cs="Times New Roman"/>
          <w:noProof/>
          <w:lang w:eastAsia="pt-BR"/>
        </w:rPr>
        <w:pict w14:anchorId="71E1B246">
          <v:rect id="_x0000_i1027" alt="" style="width:424.75pt;height:.05pt;mso-width-percent:0;mso-height-percent:0;mso-width-percent:0;mso-height-percent:0" o:hrpct="999" o:hralign="center" o:hrstd="t" o:hr="t" fillcolor="#a0a0a0" stroked="f"/>
        </w:pict>
      </w:r>
    </w:p>
    <w:p w14:paraId="7D897DDE" w14:textId="77777777" w:rsidR="00545810" w:rsidRPr="00545810" w:rsidRDefault="00545810" w:rsidP="005458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Referências bibliográficas</w:t>
      </w:r>
    </w:p>
    <w:p w14:paraId="305E5E5A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Greene ND,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Copp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AJ. Neural tube defects.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Annu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Rev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Neurosci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2014;37:221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-42.</w:t>
      </w:r>
    </w:p>
    <w:p w14:paraId="2F5670C6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Yacob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Carr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CJ, Foote J,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Scullen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T, Werner C,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Mathkour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et al. The global burden of neural tube defects and disparities in neurosurgical care.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World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Neurosurg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. 2021;149:e803-e820.</w:t>
      </w:r>
    </w:p>
    <w:p w14:paraId="223119BF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Dolk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H,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Loane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Garne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E. The prevalence of congenital anomalies in Europe.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Adv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Exp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Med Biol.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2010;686:349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-64.</w:t>
      </w:r>
    </w:p>
    <w:p w14:paraId="50B5889B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Frey L, Hauser WA. Epidemiology of neural tube defects.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Epilepsia. 2003;44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Suppl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3:4-13.</w:t>
      </w:r>
    </w:p>
    <w:p w14:paraId="5F468271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Chen CP. Chromosomal abnormalities associated with neural tube defects (I): full aneuploidy.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Taiwan J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Obstet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Gynecol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2007;46:325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-35.</w:t>
      </w:r>
    </w:p>
    <w:p w14:paraId="2F07049D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Chen CP. Syndromes, disorders, and maternal risk factors associated with neural tube defects (II).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Taiwan J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Obstet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Gynecol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2008;47:10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-17.</w:t>
      </w:r>
    </w:p>
    <w:p w14:paraId="3B48D387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Avagliano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, Massa V, George TM,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Qureshy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Bulfamante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GP,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Finnell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RH. Overview on neural tube defects: from development to physical characteristics.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Birth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Defect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Res.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2019;111:1455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-67.</w:t>
      </w:r>
    </w:p>
    <w:p w14:paraId="73E7A95F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Copp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AJ, Stanier P, Greene ND. Neural tube defects: recent advances, unsolved questions, and controversies.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Lancet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Neurol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2013;12:799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-810.</w:t>
      </w:r>
    </w:p>
    <w:p w14:paraId="19599EB8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Harris MJ,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Juriloff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DM. An update to the list of mouse mutants with neural tube closure defects and advances toward a complete genetic perspective of neural tube closure.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Birth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Defects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Res A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Mol Teratol.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2010;88:653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-69.</w:t>
      </w:r>
    </w:p>
    <w:p w14:paraId="1E2AC067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Nakatsu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T,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Uwabe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C, Shiota K. Neural tube closure in humans initiates at multiple sites: evidence from human embryos and implications for the pathogenesis of neural tube defects.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Anat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Embryol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Berl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).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2000;201:455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-66.</w:t>
      </w:r>
    </w:p>
    <w:p w14:paraId="6923F4CD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>O’Rahilly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R, Müller F. The two sites of fusion of the neural folds and the two neuropores in the human embryo.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Teratology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2002;65:162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-70.</w:t>
      </w:r>
    </w:p>
    <w:p w14:paraId="23733DF5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Lew SM,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Kothbauer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KF. Tethered cord syndrome: an updated review.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Pediatr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Neurosurg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2007;43:236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-48.</w:t>
      </w:r>
    </w:p>
    <w:p w14:paraId="171C9F8C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Juriloff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DM, Harris MJ. Hypothesis: the female excess in cranial neural tube defects reflects an epigenetic drag of the inactivating X chromosome on the molecular mechanisms of neural fold elevation.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Birth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Defects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Res A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Mol Teratol.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2012;94:849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-55.</w:t>
      </w:r>
    </w:p>
    <w:p w14:paraId="40217289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Agopian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, Tinker SC,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Lupo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PJ, Canfield MA, Mitchell LE; National Birth Defects Prevention Study. Proportion of neural tube defects attributable to known risk factors.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Birth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Defects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Res A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Mol Teratol.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2013;97:42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-6.</w:t>
      </w:r>
    </w:p>
    <w:p w14:paraId="5E33BFD8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Pietrzik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K, Bailey L, Shane B. Folic acid and L-5-methyltetrahydrofolate: comparison of clinical pharmacokinetics and pharmacodynamics.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Pharmacokinet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2010;49:535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-48.</w:t>
      </w:r>
    </w:p>
    <w:p w14:paraId="0253A5A7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Copp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AJ, Greene ND. Genetics and development of neural tube defects.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Pathol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2010;220:217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-30.</w:t>
      </w:r>
    </w:p>
    <w:p w14:paraId="5E06A586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Bortolus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Filippini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F,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Cipriani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S,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Trevisanuto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D,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Cavallin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F,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Zanconato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G, et al. </w:t>
      </w: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Efficacy of 4.0 mg versus 0.4 mg folic acid supplementation on the reproductive outcomes: a randomized controlled trial.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Nutrients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2021;13:4422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4008E5D1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Wang L, Chang S, Wang Z, Wang S,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Huo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J, Ding G, et al. Altered GNAS imprinting due to folic acid deficiency contributes to poor embryo development and may lead to neural tube defects.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Oncotarget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2017;8:110797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-110810.</w:t>
      </w:r>
    </w:p>
    <w:p w14:paraId="30654F21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Harris MJ,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Juriloff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DM. An update to the list of mouse mutants with neural tube closure defects and advances toward a complete genetic perspective of neural tube closure.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Birth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Defects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Res A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Mol Teratol.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2010;88:653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-69.</w:t>
      </w:r>
    </w:p>
    <w:p w14:paraId="3999746A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Lei,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Fathe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K, McCartney D, Zhu H, Yang W, Ross ME, et al. Rare LRP6 variants identified in spina bifida patients.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Hum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Mutat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2015;36:342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-49.</w:t>
      </w:r>
    </w:p>
    <w:p w14:paraId="4F13CEAA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Wlodarczyk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BJ, Palacios AM, George TM,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Finnell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RH. Antiepileptic drugs and pregnancy outcomes.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Am J Med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Genet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. 2012;158A:2071-90.</w:t>
      </w:r>
    </w:p>
    <w:p w14:paraId="45EC2686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Moretti ME, Bar-Oz B, Fried S,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Koren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G. Maternal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hyperthermia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and the risk for neural tube defects in offspring: systematic review and meta-analysis.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Epidemiology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2005;16:216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-19.</w:t>
      </w:r>
    </w:p>
    <w:p w14:paraId="0F8EC98F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Abdel-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Shafy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HI, Mansour MSM. A review on polycyclic aromatic hydrocarbons: source, environmental impact, effect on human health and remediation.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Egypt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J Pet.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2016;25:107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-23.</w:t>
      </w:r>
    </w:p>
    <w:p w14:paraId="73D7357C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Li Z, Zhang L, Ye R,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Pei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L, Liu J, Zheng X, et al. </w:t>
      </w: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Indoor air pollution from coal combustion and the risk of neural tube defects in a rural population in Shanxi Province, China.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Am J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Epidemiol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2011;174:451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-58.</w:t>
      </w:r>
    </w:p>
    <w:p w14:paraId="222BBB47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Langlois PH, Hoyt AT,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Lupo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PJ, Lawson CC, Waters MA, Desrosiers TA, et al. Maternal occupational exposure to polycyclic aromatic hydrocarbons and risk of neural tube defect-affected pregnancies.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Birth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Defects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Res A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Mol Teratol.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2012;94:693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-700.</w:t>
      </w:r>
    </w:p>
    <w:p w14:paraId="02BC558F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Wang B,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Jin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L, Ren A, Yuan Y, Liu J, Li Z, et al. Levels of polycyclic aromatic hydrocarbons in maternal serum and risk of neural tube defects in offspring.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Environ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Sci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Technol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2015;49:588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-96.</w:t>
      </w:r>
    </w:p>
    <w:p w14:paraId="0E2AFC5C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Patel AB, Shaikh S, Jain KR, Desai C,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Madamwar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D. Polycyclic aromatic hydrocarbons: sources, toxicity, and remediation approaches.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Front Microbiol.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2020;11:562813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22200BC0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Amitai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Y,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Koren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G. High risk for neural tube defects; the role of arsenic in drinking water and rice in Asia.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Med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Hypotheses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2018;119:88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-90.</w:t>
      </w:r>
    </w:p>
    <w:p w14:paraId="426F8351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Wlodarczyk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BJ, Cabrera RM, Hill DS,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Bozinov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D, Zhu H,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Finnell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RH. </w:t>
      </w: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Arsenic-induced gene expression changes in the neural tube of folate transport defective mouse embryos.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Neurotoxicology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2006;27:547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-57.</w:t>
      </w:r>
    </w:p>
    <w:p w14:paraId="4B0D879A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Mazumdar M. Does arsenic increase the risk of neural tube defects among a highly exposed population? A new case-control study in Bangladesh. Birth Defects Res.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2017;109:92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-8.</w:t>
      </w:r>
    </w:p>
    <w:p w14:paraId="6117FC3B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Kalra, Dewan P, Batra P, Sharma T, Tyagi V, Banerjee BD. Organochlorine pesticide exposure in mothers and neural tube defects in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offsprings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Reprod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Toxicol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2016;66:56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-60.</w:t>
      </w:r>
    </w:p>
    <w:p w14:paraId="703442BD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Brender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JD,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Felkner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Suarez L, Canfield MA, Henry JP. Maternal pesticide exposure and neural tube defects in Mexican Americans.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Ann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Epidemiol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2010;20:16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-22.</w:t>
      </w:r>
    </w:p>
    <w:p w14:paraId="1FF14EAA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Baldacci S,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Gorini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F, Santoro M,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Pierini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Minichilli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F, Bianchi F. Environmental and individual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exposure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and the risk of congenital anomalies: a review of recent epidemiological evidence.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Epidemiol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Prev. 2018;42(3-4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Suppl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1):1-34.</w:t>
      </w:r>
    </w:p>
    <w:p w14:paraId="076388EF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Suarez L,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Felkner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Brender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JD, Canfield M, Zhu H, Hendricks KA. Neural tube defects on the Texas-Mexico border: what we’ve learned in the 20 years since the Brownsville Cluster.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Birth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Defects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Res A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Mol Teratol.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2012;94:882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-92.</w:t>
      </w:r>
    </w:p>
    <w:p w14:paraId="1088DCA5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Shaw GM, Wasserman CR, O’Malley CD, Nelson V, Jackson RJ. Maternal pesticide exposure from multiple sources and selected congenital anomalies.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Epidemiology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1999;10:60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-6.</w:t>
      </w:r>
    </w:p>
    <w:p w14:paraId="6D8552AC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Balarajan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R, McDowall M. Congenital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malformations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and agricultural workers.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Lancet.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1983;1:1112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-13.</w:t>
      </w:r>
    </w:p>
    <w:p w14:paraId="2EC17B2F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Zhang J, Chen FZ, Gao Q, Sun JH, Tian GP, Gao YM. Hyperthermia induces upregulation of connexin43 in the golden hamster neural tube.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Birth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Defects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Res A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Mol Teratol.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2012;94:16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-21.</w:t>
      </w:r>
    </w:p>
    <w:p w14:paraId="4F9F86BA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Harvey MA,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McRorie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MM, Smith DW. Suggested limits to the use of the hot tub and sauna by pregnant women.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Can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Med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Assoc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J.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1981;125:50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-3.</w:t>
      </w:r>
    </w:p>
    <w:p w14:paraId="36006071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Lundberg YW, Wing MJ,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Xiong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W, Zhao J,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Finnell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RH. Genetic dissection of hyperthermia-induced neural tube defects in mice.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Birth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Defects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Res A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Mol Teratol.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2003;67:409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-13.</w:t>
      </w:r>
    </w:p>
    <w:p w14:paraId="4780A4D8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Crider KS, Cleves MA,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Reefhuis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J, Berry RJ, Hobbs CA, Hu DJ. Antibacterial medication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use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during pregnancy and risk of birth defects: National Birth Defects Prevention Study.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Arch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Pediatr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Adolesc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Med.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2009;163:978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-85.</w:t>
      </w:r>
    </w:p>
    <w:p w14:paraId="2D40CB7C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Gilboa SM, Broussard CS, Devine OJ,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Duwe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KN, Flak AL, Boulet SL, et al. Influencing clinical practice regarding the use of antiepileptic medications during pregnancy: modeling the potential impact on the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prevalences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of spina bifida and cleft palate in the United States.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Am J Med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Genet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C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Semin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Med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Genet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2011;157:234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-46.</w:t>
      </w:r>
    </w:p>
    <w:p w14:paraId="29CB25CC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Interrante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JD, Ailes EC, Lind JN,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Anderka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Feldkamp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ML,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Werler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MM, et al. Risk comparison for prenatal use of analgesics and selected birth defects, National Birth Defects Prevention Study 1997-2011.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Ann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Epidemiol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2017;27:645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-653.e2.</w:t>
      </w:r>
    </w:p>
    <w:p w14:paraId="7175BD1A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MRC Vitamin Study Research Group. Prevention of neural tube defects: results of the Medical Research Council Vitamin Study.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Lancet.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1991;338:131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-37.</w:t>
      </w:r>
    </w:p>
    <w:p w14:paraId="4CE47EEA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Sudiwala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, Palmer A, Massa V, Burns AJ,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Dunlevy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LPE, de Castro SCP, et al. </w:t>
      </w: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Cellular mechanisms underlying Pax3-related neural tube defects and their prevention by folic acid.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Dis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Model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Mech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. 2019;12:dmm042234.</w:t>
      </w:r>
    </w:p>
    <w:p w14:paraId="74E5A335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 xml:space="preserve">Barbera JP, Rodriguez TA, Greene ND,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Weninger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WJ, Simeone A,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Copp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AJ, et al. Folic acid prevents exencephaly in Cited2 deficient mice.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Hum Mol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Genet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2002;11:283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-93.</w:t>
      </w:r>
    </w:p>
    <w:p w14:paraId="28B31E0B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van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Straaten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HW,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Copp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AJ. Curly tail: a 50-year history of the mouse spina bifida model.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Anat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Embryol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Berl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).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2001;203:225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-37.</w:t>
      </w:r>
    </w:p>
    <w:p w14:paraId="7A945426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De Castro SC, Leung KY,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Savery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D, Burren K,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Rozen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Copp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AJ, et al. Neural tube defects induced by folate deficiency in mutant curly tail (Grhl3) embryos are associated with alteration in folate one-carbon metabolism but are unlikely to result from diminished methylation.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Birth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Defects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Res A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Mol Teratol.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2010;88:612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-18.</w:t>
      </w:r>
    </w:p>
    <w:p w14:paraId="276D32F0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Greene ND, Leung KY,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Copp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AJ. Inositol, neural tube closure and the prevention of neural tube defects.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Birth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Defects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Res.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2017;109:68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-80.</w:t>
      </w:r>
    </w:p>
    <w:p w14:paraId="2347E1DA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Cockroft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DL, Brook FA,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Copp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AJ. Inositol deficiency increases the susceptibility to neural tube defects of genetically predisposed (curly tail) mouse embryos in vitro.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Teratology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1992;45:223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-32.</w:t>
      </w:r>
    </w:p>
    <w:p w14:paraId="17B038AC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Russo M, Forte G,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Montanino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Oliva M,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Laganà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AS,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Unfer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V. Melatonin and myo-inositol: supporting reproduction from the oocyte to birth.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Int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J Mol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Sci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2021;22:8433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5E7AD51B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D’Souza SW,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Copp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AJ, Greene NDE, Glazier JD. Maternal inositol status and neural tube defects: a role for the human yolk sac in embryonic inositol delivery?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Adv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Nutr.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2021;12:212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-22.</w:t>
      </w:r>
    </w:p>
    <w:p w14:paraId="294E569C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Dinicola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Unfer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V,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Facchinetti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Soulage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CO, Greene ND, Bizzarri M, et al.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Inositols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: from established knowledge to novel approaches. Int J Mol Sci.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2021;22:10575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.</w:t>
      </w:r>
    </w:p>
    <w:p w14:paraId="3D5D646E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Rose NC,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Mennuti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MT. Fetal neural tube defects: diagnosis, management, and treatment. Carlisle (UK): The Foundation for The Global Library of Women’s Medicine; 2009.</w:t>
      </w:r>
    </w:p>
    <w:p w14:paraId="42E2ADEC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Volarevic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V, Markovic BS,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Gazdic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Volarevic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A, Jovicic N,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Arsenijevic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N, et al. Ethical and safety issues of stem cell-based therapy.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Int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J Med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Sci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2018;15:36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-45.</w:t>
      </w:r>
    </w:p>
    <w:p w14:paraId="0D370809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Gupta DK, Sharma S, Venugopal P, Kumar L, Mohanty S,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Dattagupta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S. Stem cells as a therapeutic modality in pediatric malformations.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Transplant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Proc.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2007;39:700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-2.</w:t>
      </w:r>
    </w:p>
    <w:p w14:paraId="133BF7D2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Mitrecic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, Nicaise C,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Klimaschewski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Gajovic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Bohl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Pochet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R. Genetically modified stem cells for the treatment of neurological diseases.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Front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Biosci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(Elite Ed).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2012;4:1170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-81.</w:t>
      </w:r>
    </w:p>
    <w:p w14:paraId="7E9EEFC1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Isaković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Šimunić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I,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Jagečić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Hribljan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V,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Mitrečić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D. Overview of neural tube defects: gene-environment interactions, preventative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approaches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and future perspectives.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Biomedicines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2022;10:965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3260AF5B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Godzik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, Ravindra VM, Ray WZ,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Eskandari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R, Dailey AT. Primary repair of open neural tube defect in adulthood: case example and review of management strategies.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J. 2015;15:e57-e63.</w:t>
      </w:r>
    </w:p>
    <w:p w14:paraId="423413CB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Rossi A,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Cama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A,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>Tortori-Donati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P. Spinal dysraphism: a review of neurological features.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Paediatr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Neuroradiol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2000;42:471</w:t>
      </w:r>
      <w:proofErr w:type="gram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-91.</w:t>
      </w:r>
    </w:p>
    <w:p w14:paraId="62E83580" w14:textId="77777777" w:rsidR="00545810" w:rsidRPr="00545810" w:rsidRDefault="00545810" w:rsidP="005458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Youmans JR, editor. Neurological surgery. 2nd ed. 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Philadelphia: WB Saunders; 1982. p. 1.</w:t>
      </w:r>
    </w:p>
    <w:p w14:paraId="79AF54F9" w14:textId="77777777" w:rsidR="00545810" w:rsidRPr="00545810" w:rsidRDefault="004E7AF0" w:rsidP="00545810">
      <w:pPr>
        <w:rPr>
          <w:rFonts w:ascii="Times New Roman" w:eastAsia="Times New Roman" w:hAnsi="Times New Roman" w:cs="Times New Roman"/>
          <w:lang w:eastAsia="pt-BR"/>
        </w:rPr>
      </w:pPr>
      <w:r w:rsidRPr="00545810">
        <w:rPr>
          <w:rFonts w:ascii="Times New Roman" w:eastAsia="Times New Roman" w:hAnsi="Times New Roman" w:cs="Times New Roman"/>
          <w:noProof/>
          <w:lang w:eastAsia="pt-BR"/>
        </w:rPr>
        <w:pict w14:anchorId="7A810B61">
          <v:rect id="_x0000_i1026" alt="" style="width:424.75pt;height:.05pt;mso-width-percent:0;mso-height-percent:0;mso-width-percent:0;mso-height-percent:0" o:hrpct="999" o:hralign="center" o:hrstd="t" o:hr="t" fillcolor="#a0a0a0" stroked="f"/>
        </w:pict>
      </w:r>
    </w:p>
    <w:p w14:paraId="565BD52F" w14:textId="77777777" w:rsidR="00545810" w:rsidRPr="00545810" w:rsidRDefault="00545810" w:rsidP="005458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lastRenderedPageBreak/>
        <w:t>Metadados para publicação</w:t>
      </w:r>
    </w:p>
    <w:p w14:paraId="1C0E4850" w14:textId="77777777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SEO: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Disrafismo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espinhal e defeitos do tubo neural | Tratado</w:t>
      </w:r>
    </w:p>
    <w:p w14:paraId="6AF8EF8A" w14:textId="77777777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Meta descrição: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 Entenda embriologia, classificação, fatores de risco, prevenção e cuidado ao longo da vida nos defeitos do tubo neural e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disrafismo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espinal.</w:t>
      </w:r>
    </w:p>
    <w:p w14:paraId="6B0A7019" w14:textId="77777777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Resumo de chamada: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 Compreenda como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neurulação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, fatores genéticos e ambientais, prevenção </w:t>
      </w:r>
      <w:proofErr w:type="spellStart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periconcepcional</w:t>
      </w:r>
      <w:proofErr w:type="spellEnd"/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 xml:space="preserve"> e seguimento multidisciplinar se conectam no cuidado dos defeitos do tubo neural.</w:t>
      </w:r>
    </w:p>
    <w:p w14:paraId="0A7B6FBD" w14:textId="77777777" w:rsidR="00545810" w:rsidRPr="00545810" w:rsidRDefault="00545810" w:rsidP="005458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Sugestão de </w:t>
      </w:r>
      <w:proofErr w:type="spellStart"/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slug</w:t>
      </w:r>
      <w:proofErr w:type="spellEnd"/>
      <w:r w:rsidRPr="0054581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:</w:t>
      </w:r>
      <w:r w:rsidRPr="00545810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proofErr w:type="spellStart"/>
      <w:r w:rsidRPr="00545810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disrafismo</w:t>
      </w:r>
      <w:proofErr w:type="spellEnd"/>
      <w:r w:rsidRPr="00545810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-espinhal-defeitos-tubo-neural</w:t>
      </w:r>
    </w:p>
    <w:p w14:paraId="3C7A547E" w14:textId="77777777" w:rsidR="00545810" w:rsidRPr="00545810" w:rsidRDefault="004E7AF0" w:rsidP="00545810">
      <w:pPr>
        <w:rPr>
          <w:rFonts w:ascii="Times New Roman" w:eastAsia="Times New Roman" w:hAnsi="Times New Roman" w:cs="Times New Roman"/>
          <w:lang w:eastAsia="pt-BR"/>
        </w:rPr>
      </w:pPr>
      <w:r w:rsidRPr="00545810">
        <w:rPr>
          <w:rFonts w:ascii="Times New Roman" w:eastAsia="Times New Roman" w:hAnsi="Times New Roman" w:cs="Times New Roman"/>
          <w:noProof/>
          <w:lang w:eastAsia="pt-BR"/>
        </w:rPr>
        <w:pict w14:anchorId="439E946E"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14:paraId="352745AE" w14:textId="77777777" w:rsidR="003C2187" w:rsidRDefault="00000000"/>
    <w:sectPr w:rsidR="003C2187" w:rsidSect="0046111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75A8"/>
    <w:multiLevelType w:val="multilevel"/>
    <w:tmpl w:val="115E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F69C5"/>
    <w:multiLevelType w:val="multilevel"/>
    <w:tmpl w:val="D5F8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116CF"/>
    <w:multiLevelType w:val="multilevel"/>
    <w:tmpl w:val="596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55635"/>
    <w:multiLevelType w:val="multilevel"/>
    <w:tmpl w:val="EE024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A37A73"/>
    <w:multiLevelType w:val="multilevel"/>
    <w:tmpl w:val="BF3E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066733">
    <w:abstractNumId w:val="0"/>
  </w:num>
  <w:num w:numId="2" w16cid:durableId="1504851943">
    <w:abstractNumId w:val="1"/>
  </w:num>
  <w:num w:numId="3" w16cid:durableId="1202287840">
    <w:abstractNumId w:val="4"/>
  </w:num>
  <w:num w:numId="4" w16cid:durableId="213270861">
    <w:abstractNumId w:val="2"/>
  </w:num>
  <w:num w:numId="5" w16cid:durableId="1922832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810"/>
    <w:rsid w:val="000D7E60"/>
    <w:rsid w:val="002D732D"/>
    <w:rsid w:val="0045079E"/>
    <w:rsid w:val="00461115"/>
    <w:rsid w:val="004E7AF0"/>
    <w:rsid w:val="00545810"/>
    <w:rsid w:val="005E2B43"/>
    <w:rsid w:val="00602A1B"/>
    <w:rsid w:val="006B0FCD"/>
    <w:rsid w:val="006B691F"/>
    <w:rsid w:val="00743DED"/>
    <w:rsid w:val="007D0808"/>
    <w:rsid w:val="00821A1A"/>
    <w:rsid w:val="008A7C98"/>
    <w:rsid w:val="008B5D87"/>
    <w:rsid w:val="00A50355"/>
    <w:rsid w:val="00A96B78"/>
    <w:rsid w:val="00B702F2"/>
    <w:rsid w:val="00C20A44"/>
    <w:rsid w:val="00C62276"/>
    <w:rsid w:val="00D973F4"/>
    <w:rsid w:val="00E34133"/>
    <w:rsid w:val="00E8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1042F"/>
  <w15:chartTrackingRefBased/>
  <w15:docId w15:val="{1751E2DD-A490-024B-878E-FA444251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4581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4581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4581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581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4581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4581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458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545810"/>
    <w:rPr>
      <w:b/>
      <w:bCs/>
    </w:rPr>
  </w:style>
  <w:style w:type="character" w:customStyle="1" w:styleId="apple-converted-space">
    <w:name w:val="apple-converted-space"/>
    <w:basedOn w:val="Fontepargpadro"/>
    <w:rsid w:val="00545810"/>
  </w:style>
  <w:style w:type="character" w:styleId="CdigoHTML">
    <w:name w:val="HTML Code"/>
    <w:basedOn w:val="Fontepargpadro"/>
    <w:uiPriority w:val="99"/>
    <w:semiHidden/>
    <w:unhideWhenUsed/>
    <w:rsid w:val="005458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2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3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3194</Words>
  <Characters>17250</Characters>
  <Application>Microsoft Office Word</Application>
  <DocSecurity>0</DocSecurity>
  <Lines>143</Lines>
  <Paragraphs>40</Paragraphs>
  <ScaleCrop>false</ScaleCrop>
  <Company/>
  <LinksUpToDate>false</LinksUpToDate>
  <CharactersWithSpaces>20404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2026-08-19T04:00:00Z</dcterms:created>
  <dcterms:modified xsi:type="dcterms:W3CDTF">2026-08-19T04:03:00Z</dcterms:modified>
</cp:coreProperties>
</file>