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1E77FB" w14:textId="77777777" w:rsidR="00F77032" w:rsidRPr="00F77032" w:rsidRDefault="00F77032" w:rsidP="00F7703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77032">
        <w:rPr>
          <w:rFonts w:ascii="Times New Roman" w:eastAsia="Times New Roman" w:hAnsi="Times New Roman" w:cs="Times New Roman"/>
          <w:b/>
          <w:bCs/>
          <w:color w:val="000000"/>
          <w:kern w:val="36"/>
          <w:sz w:val="48"/>
          <w:szCs w:val="48"/>
          <w14:ligatures w14:val="none"/>
        </w:rPr>
        <w:t>CAPÍTULO 101 — JUNÇÃO CRANIOVERTEBRAL: ANORMALIDADES CONGÊNITAS, ADQUIRIDAS E TRAUMA</w:t>
      </w:r>
    </w:p>
    <w:p w14:paraId="7FEDB53E"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 Identificação</w:t>
      </w:r>
    </w:p>
    <w:p w14:paraId="5D4EFC4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Número do capítulo:</w:t>
      </w:r>
      <w:r w:rsidRPr="00F77032">
        <w:rPr>
          <w:rFonts w:ascii="Times New Roman" w:eastAsia="Times New Roman" w:hAnsi="Times New Roman" w:cs="Times New Roman"/>
          <w:color w:val="000000"/>
          <w:kern w:val="0"/>
          <w14:ligatures w14:val="none"/>
        </w:rPr>
        <w:t> 101</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Título:</w:t>
      </w:r>
      <w:r w:rsidRPr="00F77032">
        <w:rPr>
          <w:rFonts w:ascii="Times New Roman" w:eastAsia="Times New Roman" w:hAnsi="Times New Roman" w:cs="Times New Roman"/>
          <w:color w:val="000000"/>
          <w:kern w:val="0"/>
          <w14:ligatures w14:val="none"/>
        </w:rPr>
        <w:t> Junção Craniovertebral: Anormalidades Congênitas, Adquiridas e Trauma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Seção:</w:t>
      </w:r>
      <w:r w:rsidRPr="00F77032">
        <w:rPr>
          <w:rFonts w:ascii="Times New Roman" w:eastAsia="Times New Roman" w:hAnsi="Times New Roman" w:cs="Times New Roman"/>
          <w:color w:val="000000"/>
          <w:kern w:val="0"/>
          <w14:ligatures w14:val="none"/>
        </w:rPr>
        <w:t> Seção 10 — Temas Complementares</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Autores:</w:t>
      </w:r>
      <w:r w:rsidRPr="00F77032">
        <w:rPr>
          <w:rFonts w:ascii="Times New Roman" w:eastAsia="Times New Roman" w:hAnsi="Times New Roman" w:cs="Times New Roman"/>
          <w:color w:val="000000"/>
          <w:kern w:val="0"/>
          <w14:ligatures w14:val="none"/>
        </w:rPr>
        <w:t> Luis Eduardo Carelli; Alderico Girão Campos de Barros; Alessandro Maria Bianconi</w:t>
      </w:r>
    </w:p>
    <w:p w14:paraId="3A318AF5"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2. Contexto</w:t>
      </w:r>
    </w:p>
    <w:p w14:paraId="19ACBE4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junção craniovertebral reúne o occipício, o atlas e o áxis em uma região de elevada mobilidade, mas que simultaneamente necessita manter estabilidade rigorosa para proteger o tronco cerebral, a medula cervical alta, as raízes nervosas e as artérias vertebrais. Essa combinação torna sua avaliação particularmente desafiadora. Alterações traumáticas, congênitas, inflamatórias e degenerativas podem modificar relações ósseas e ligamentares, produzir instabilidade e, em determinadas situações, ameaçar estruturas neurológicas e vasculares. O diagnóstico exige compreender a anatomia tridimensional, a função dos ligamentos estabilizadores e as relações entre imagem estática e comportamento dinâmico. O capítulo integra esses princípios ao estudo das fraturas do atlas, da pseudoartrose do odontoide, da instabilidade craniovertebral, da invaginação basilar, do acometimento pela artrite reumatoide e da osteoartrose da região, enfatizando a necessidade de equilibrar estabilidade, descompressão neural e preservação do movimento.</w:t>
      </w:r>
    </w:p>
    <w:p w14:paraId="130DA65B"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3. Objetivo do capítulo</w:t>
      </w:r>
    </w:p>
    <w:p w14:paraId="0DB3B9B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capítulo procura capacitar o leitor a compreender a anatomia e a biomecânica da junção craniovertebral, selecionar e interpretar adequadamente os métodos de imagem e reconhecer os diferentes mecanismos de instabilidade. Apresenta ainda princípios de tratamento conservador e cirúrgico para trauma, invaginação basilar, artrite reumatoide e osteoartrose, incluindo situações nas quais estratégias de preservação do movimento podem ser consideradas.</w:t>
      </w:r>
    </w:p>
    <w:p w14:paraId="42E968D8"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4. Conteúdo principal</w:t>
      </w:r>
    </w:p>
    <w:p w14:paraId="0F67F080"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Anatomia, biomecânica e estabilidade</w:t>
      </w:r>
    </w:p>
    <w:p w14:paraId="218223A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A estabilidade da junção craniovertebral resulta da interação entre occipício, C1 e C2, sua congruência articular e um complexo sistema ligamentar. O ligamento transverso do atlas ocupa posição central nesse equilíbrio, ao lado dos ligamentos alares, da membrana tectorial e de outras estruturas estabilizadoras. A anatomia vascular também é crítica, especialmente pela relação da artéria vertebral com o arco posterior do atlas.</w:t>
      </w:r>
    </w:p>
    <w:p w14:paraId="189ED6F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grande mobilidade da região não deve ser confundida com tolerância à instabilidade. Alterações ligamentares relativamente discretas podem modificar significativamente a relação entre C1 e C2 e criar risco neurológico.</w:t>
      </w:r>
    </w:p>
    <w:p w14:paraId="20A9DA5D"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Imagem como avaliação multimodal</w:t>
      </w:r>
    </w:p>
    <w:p w14:paraId="2F2AD55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Radiografias continuam relevantes para a análise das relações craniométricas e da mobilidade segmentar. A tomografia computadorizada (TC) define detalhadamente anatomia óssea, fraturas, congruência articular e trajetória potencial dos implantes. A ressonância magnética (RM) complementa essa avaliação pela demonstração dos ligamentos, estruturas neurais, pannus e alterações intramedulares. A angio-TC acrescenta o estudo da artéria vertebral, enquanto exames dinâmicos podem revelar instabilidade não identificada em estudos estáticos.</w:t>
      </w:r>
    </w:p>
    <w:p w14:paraId="19471CE3"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Trauma e preservação do movimento</w:t>
      </w:r>
    </w:p>
    <w:p w14:paraId="582BDF5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Nas fraturas do atlas, a integridade ligamentar e a estabilidade determinam a estratégia. Padrões estáveis podem ser conduzidos conservadoramente; nas lesões instáveis, a estabilização cirúrgica assume maior importância. O capítulo apresenta a osteossíntese direta do atlas como possibilidade de preservar o movimento C1-C2 em pacientes criteriosamente selecionados.</w:t>
      </w:r>
    </w:p>
    <w:p w14:paraId="26250E1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As Figuras 101.1 a 101.3 ilustram diferentes situações traumáticas e estratégias de preservação da mobilidade. Técnicas minimamente invasivas são apresentadas como alternativas em desenvolvimento, ainda dependentes de seleção cuidadosa e experiência específica.</w:t>
      </w:r>
    </w:p>
    <w:p w14:paraId="769B36C3"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Instabilidade, invaginação basilar e doenças adquiridas</w:t>
      </w:r>
    </w:p>
    <w:p w14:paraId="3B90DAF0"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instabilidade pode decorrer de trauma, degeneração, inflamação, neoplasia, anomalias congênitas ou causas iatrogênicas. A invaginação basilar acrescenta o problema da relação do odontoide com o forame magno e pode exigir estratégias de realinhamento e estabilização.</w:t>
      </w:r>
    </w:p>
    <w:p w14:paraId="3F2C0C0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 artrite reumatoide, a inflamação e a formação de pannus podem comprometer os ligamentos e produzir subluxação ou invaginação basilar. O tratamento sistêmico controla a doença inflamatória, mas não corrige uma instabilidade mecânica estabelecida.</w:t>
      </w:r>
    </w:p>
    <w:p w14:paraId="17D5E5B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osteoartrose da junção craniovertebral é apresentada como entidade distinta, que deve ser diferenciada das doenças inflamatórias e analisada quanto à estabilidade, comprometimento neurológico e redutibilidade. A Tabela 101.1 relaciona classificação e estratégia terapêutica.</w:t>
      </w:r>
    </w:p>
    <w:p w14:paraId="03D9BB41"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5. Aplicação clínica</w:t>
      </w:r>
    </w:p>
    <w:p w14:paraId="52F15B1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A avaliação clínica deve começar pela determinação de três elementos: estabilidade, comprometimento neurológico e possibilidade de redução da deformidade. A presença de sintomas pouco exuberantes não exclui doença significativa, especialmente quando existe comprometimento ligamentar ou uma alteração funcional que aparece somente em posições dinâmicas.</w:t>
      </w:r>
    </w:p>
    <w:p w14:paraId="103F8CB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escolha do método de imagem deve responder a uma pergunta específica. A TC caracteriza os elementos ósseos; a RM demonstra ligamentos e estruturas neurais; a angio-TC esclarece a anatomia vascular; e estudos dinâmicos podem revelar instabilidade funcional. Utilizar apenas uma modalidade pode produzir uma avaliação incompleta.</w:t>
      </w:r>
    </w:p>
    <w:p w14:paraId="7105434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No trauma, a preservação de C1-C2 é desejável quando a estabilidade pode ser restaurada sem aceitar risco excessivo. Entretanto, técnicas de osteossíntese destinadas a preservar movimento não devem ser extrapoladas para padrões irreduzíveis, altamente cominutivos ou com comprometimento ligamentar incompatível com essa estratégia.</w:t>
      </w:r>
    </w:p>
    <w:p w14:paraId="71F2167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Nas doenças inflamatórias e degenerativas, a indicação deve distinguir controle sistêmico da doença e correção da instabilidade mecânica. As Figuras 101.6 a 101.8 ilustram como realinhamento, estabilização e descompressão podem assumir papéis diferentes conforme a etiologia.</w:t>
      </w:r>
    </w:p>
    <w:p w14:paraId="6F54A4D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6. Mensagem central</w:t>
      </w:r>
    </w:p>
    <w:p w14:paraId="1D442B8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junção craniovertebral deve ser compreendida como uma unidade funcional na qual mobilidade, estabilidade, anatomia ligamentar e proteção neurovascular são inseparáveis. O diagnóstico exige integração entre clínica e diferentes modalidades de imagem, e o tratamento deve restaurar segurança mecânica e neural sem sacrificar desnecessariamente a mobilidade, quando sua preservação for compatível com o padrão da doença.</w:t>
      </w:r>
    </w:p>
    <w:p w14:paraId="5B4619FA"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7. Por que este capítulo importa</w:t>
      </w:r>
    </w:p>
    <w:p w14:paraId="2B5F806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Erros de interpretação na junção craniovertebral podem ter consequências neurológicas graves. O principal desafio não é apenas reconhecer uma alteração anatômica, mas determinar se ela representa instabilidade e qual estrutura está ameaçada. O capítulo organiza o raciocínio desde a anatomia até o tratamento e mostra por que trauma, artrite reumatoide, invaginação basilar e osteoartrose não podem ser conduzidos por um único algoritmo. Entender quando preservar movimento e quando priorizar estabilização é decisivo para uma abordagem segura.</w:t>
      </w:r>
    </w:p>
    <w:p w14:paraId="09CE07E7"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8. Descritores DeCS e MeSH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4"/>
        <w:gridCol w:w="2182"/>
      </w:tblGrid>
      <w:tr w:rsidR="00F77032" w:rsidRPr="00F77032" w14:paraId="0B09A368" w14:textId="77777777">
        <w:trPr>
          <w:tblHeader/>
          <w:tblCellSpacing w:w="15" w:type="dxa"/>
        </w:trPr>
        <w:tc>
          <w:tcPr>
            <w:tcW w:w="0" w:type="auto"/>
            <w:vAlign w:val="center"/>
            <w:hideMark/>
          </w:tcPr>
          <w:p w14:paraId="4011CE88" w14:textId="77777777" w:rsidR="00F77032" w:rsidRPr="00F77032" w:rsidRDefault="00F77032" w:rsidP="00F77032">
            <w:pPr>
              <w:spacing w:after="0" w:line="240" w:lineRule="auto"/>
              <w:jc w:val="center"/>
              <w:rPr>
                <w:rFonts w:ascii="Times New Roman" w:eastAsia="Times New Roman" w:hAnsi="Times New Roman" w:cs="Times New Roman"/>
                <w:b/>
                <w:bCs/>
                <w:color w:val="000000"/>
                <w:kern w:val="0"/>
                <w14:ligatures w14:val="none"/>
              </w:rPr>
            </w:pPr>
            <w:r w:rsidRPr="00F77032">
              <w:rPr>
                <w:rFonts w:ascii="Times New Roman" w:eastAsia="Times New Roman" w:hAnsi="Times New Roman" w:cs="Times New Roman"/>
                <w:b/>
                <w:bCs/>
                <w:color w:val="000000"/>
                <w:kern w:val="0"/>
                <w14:ligatures w14:val="none"/>
              </w:rPr>
              <w:t>DeCS</w:t>
            </w:r>
          </w:p>
        </w:tc>
        <w:tc>
          <w:tcPr>
            <w:tcW w:w="0" w:type="auto"/>
            <w:vAlign w:val="center"/>
            <w:hideMark/>
          </w:tcPr>
          <w:p w14:paraId="062D184B" w14:textId="77777777" w:rsidR="00F77032" w:rsidRPr="00F77032" w:rsidRDefault="00F77032" w:rsidP="00F77032">
            <w:pPr>
              <w:spacing w:after="0" w:line="240" w:lineRule="auto"/>
              <w:jc w:val="center"/>
              <w:rPr>
                <w:rFonts w:ascii="Times New Roman" w:eastAsia="Times New Roman" w:hAnsi="Times New Roman" w:cs="Times New Roman"/>
                <w:b/>
                <w:bCs/>
                <w:color w:val="000000"/>
                <w:kern w:val="0"/>
                <w14:ligatures w14:val="none"/>
              </w:rPr>
            </w:pPr>
            <w:r w:rsidRPr="00F77032">
              <w:rPr>
                <w:rFonts w:ascii="Times New Roman" w:eastAsia="Times New Roman" w:hAnsi="Times New Roman" w:cs="Times New Roman"/>
                <w:b/>
                <w:bCs/>
                <w:color w:val="000000"/>
                <w:kern w:val="0"/>
                <w14:ligatures w14:val="none"/>
              </w:rPr>
              <w:t>MeSH</w:t>
            </w:r>
          </w:p>
        </w:tc>
      </w:tr>
      <w:tr w:rsidR="00F77032" w:rsidRPr="00F77032" w14:paraId="6B7ED0D1" w14:textId="77777777">
        <w:trPr>
          <w:tblCellSpacing w:w="15" w:type="dxa"/>
        </w:trPr>
        <w:tc>
          <w:tcPr>
            <w:tcW w:w="0" w:type="auto"/>
            <w:vAlign w:val="center"/>
            <w:hideMark/>
          </w:tcPr>
          <w:p w14:paraId="0BCE7C11"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Vértebras Cervicais</w:t>
            </w:r>
          </w:p>
        </w:tc>
        <w:tc>
          <w:tcPr>
            <w:tcW w:w="0" w:type="auto"/>
            <w:vAlign w:val="center"/>
            <w:hideMark/>
          </w:tcPr>
          <w:p w14:paraId="0B7A3CE5"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Cervical Vertebrae</w:t>
            </w:r>
          </w:p>
        </w:tc>
      </w:tr>
      <w:tr w:rsidR="00F77032" w:rsidRPr="00F77032" w14:paraId="0A36876D" w14:textId="77777777">
        <w:trPr>
          <w:tblCellSpacing w:w="15" w:type="dxa"/>
        </w:trPr>
        <w:tc>
          <w:tcPr>
            <w:tcW w:w="0" w:type="auto"/>
            <w:vAlign w:val="center"/>
            <w:hideMark/>
          </w:tcPr>
          <w:p w14:paraId="7B1DC188"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Articulação Atlantoaxial</w:t>
            </w:r>
          </w:p>
        </w:tc>
        <w:tc>
          <w:tcPr>
            <w:tcW w:w="0" w:type="auto"/>
            <w:vAlign w:val="center"/>
            <w:hideMark/>
          </w:tcPr>
          <w:p w14:paraId="3F9675EB"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Atlanto-Axial Joint</w:t>
            </w:r>
          </w:p>
        </w:tc>
      </w:tr>
      <w:tr w:rsidR="00F77032" w:rsidRPr="00F77032" w14:paraId="5B0D2975" w14:textId="77777777">
        <w:trPr>
          <w:tblCellSpacing w:w="15" w:type="dxa"/>
        </w:trPr>
        <w:tc>
          <w:tcPr>
            <w:tcW w:w="0" w:type="auto"/>
            <w:vAlign w:val="center"/>
            <w:hideMark/>
          </w:tcPr>
          <w:p w14:paraId="68F605E9"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Instabilidade Articular</w:t>
            </w:r>
          </w:p>
        </w:tc>
        <w:tc>
          <w:tcPr>
            <w:tcW w:w="0" w:type="auto"/>
            <w:vAlign w:val="center"/>
            <w:hideMark/>
          </w:tcPr>
          <w:p w14:paraId="414DA704"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Joint Instability</w:t>
            </w:r>
          </w:p>
        </w:tc>
      </w:tr>
      <w:tr w:rsidR="00F77032" w:rsidRPr="00F77032" w14:paraId="44551947" w14:textId="77777777">
        <w:trPr>
          <w:tblCellSpacing w:w="15" w:type="dxa"/>
        </w:trPr>
        <w:tc>
          <w:tcPr>
            <w:tcW w:w="0" w:type="auto"/>
            <w:vAlign w:val="center"/>
            <w:hideMark/>
          </w:tcPr>
          <w:p w14:paraId="22FC41A7"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Traumatismos da Coluna Vertebral</w:t>
            </w:r>
          </w:p>
        </w:tc>
        <w:tc>
          <w:tcPr>
            <w:tcW w:w="0" w:type="auto"/>
            <w:vAlign w:val="center"/>
            <w:hideMark/>
          </w:tcPr>
          <w:p w14:paraId="426F5678"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Spinal Injuries</w:t>
            </w:r>
          </w:p>
        </w:tc>
      </w:tr>
      <w:tr w:rsidR="00F77032" w:rsidRPr="00F77032" w14:paraId="5CC2C495" w14:textId="77777777">
        <w:trPr>
          <w:tblCellSpacing w:w="15" w:type="dxa"/>
        </w:trPr>
        <w:tc>
          <w:tcPr>
            <w:tcW w:w="0" w:type="auto"/>
            <w:vAlign w:val="center"/>
            <w:hideMark/>
          </w:tcPr>
          <w:p w14:paraId="0FB790E9"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Artrite Reumatoide</w:t>
            </w:r>
          </w:p>
        </w:tc>
        <w:tc>
          <w:tcPr>
            <w:tcW w:w="0" w:type="auto"/>
            <w:vAlign w:val="center"/>
            <w:hideMark/>
          </w:tcPr>
          <w:p w14:paraId="103F0580"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Arthritis, Rheumatoid</w:t>
            </w:r>
          </w:p>
        </w:tc>
      </w:tr>
      <w:tr w:rsidR="00F77032" w:rsidRPr="00F77032" w14:paraId="04E9AA23" w14:textId="77777777">
        <w:trPr>
          <w:tblCellSpacing w:w="15" w:type="dxa"/>
        </w:trPr>
        <w:tc>
          <w:tcPr>
            <w:tcW w:w="0" w:type="auto"/>
            <w:vAlign w:val="center"/>
            <w:hideMark/>
          </w:tcPr>
          <w:p w14:paraId="36FC741A"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Osteoartrite</w:t>
            </w:r>
          </w:p>
        </w:tc>
        <w:tc>
          <w:tcPr>
            <w:tcW w:w="0" w:type="auto"/>
            <w:vAlign w:val="center"/>
            <w:hideMark/>
          </w:tcPr>
          <w:p w14:paraId="0DFED979"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Osteoarthritis</w:t>
            </w:r>
          </w:p>
        </w:tc>
      </w:tr>
      <w:tr w:rsidR="00F77032" w:rsidRPr="00F77032" w14:paraId="1C3006F6" w14:textId="77777777">
        <w:trPr>
          <w:tblCellSpacing w:w="15" w:type="dxa"/>
        </w:trPr>
        <w:tc>
          <w:tcPr>
            <w:tcW w:w="0" w:type="auto"/>
            <w:vAlign w:val="center"/>
            <w:hideMark/>
          </w:tcPr>
          <w:p w14:paraId="1330B684"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Fusão Vertebral</w:t>
            </w:r>
          </w:p>
        </w:tc>
        <w:tc>
          <w:tcPr>
            <w:tcW w:w="0" w:type="auto"/>
            <w:vAlign w:val="center"/>
            <w:hideMark/>
          </w:tcPr>
          <w:p w14:paraId="4ED6A977"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Spinal Fusion</w:t>
            </w:r>
          </w:p>
        </w:tc>
      </w:tr>
    </w:tbl>
    <w:p w14:paraId="7987BED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Palavras-chave livres:</w:t>
      </w:r>
      <w:r w:rsidRPr="00F77032">
        <w:rPr>
          <w:rFonts w:ascii="Times New Roman" w:eastAsia="Times New Roman" w:hAnsi="Times New Roman" w:cs="Times New Roman"/>
          <w:color w:val="000000"/>
          <w:kern w:val="0"/>
          <w14:ligatures w14:val="none"/>
        </w:rPr>
        <w:t> invaginação basilar; osteossíntese do atlas.</w:t>
      </w:r>
    </w:p>
    <w:p w14:paraId="67B1362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9. Três cards de destaque</w:t>
      </w:r>
    </w:p>
    <w:p w14:paraId="1476DC78"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1 — Ligamento transverso é decisivo</w:t>
      </w:r>
    </w:p>
    <w:p w14:paraId="2EF4B5D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estabilidade atlantoaxial não depende apenas da aparência da fratura. A integridade do ligamento transverso do atlas modifica a interpretação biomecânica da lesão e influencia diretamente a escolha entre tratamento conservador, osteossíntese com preservação do movimento e procedimentos de estabilização.</w:t>
      </w:r>
    </w:p>
    <w:p w14:paraId="7CF0050A"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2 — Imagem responde perguntas diferentes</w:t>
      </w:r>
    </w:p>
    <w:p w14:paraId="1EFE42F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Radiografias, TC, RM, angio-TC e estudos dinâmicos não são modalidades concorrentes. Cada uma investiga um componente distinto da junção craniovertebral. A estratégia diagnóstica mais segura é combinar os métodos de acordo com a hipótese clínica e o risco neurovascular.</w:t>
      </w:r>
    </w:p>
    <w:p w14:paraId="1B5C2B58"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3 — Preservar movimento exige seleção</w:t>
      </w:r>
    </w:p>
    <w:p w14:paraId="39F77D20"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osteossíntese pode manter mobilidade de C1-C2 em determinados padrões traumáticos, mas não constitui alternativa universal à fusão. Redutibilidade, integridade ligamentar, anatomia da fratura e condições locais precisam ser consideradas antes de adotar uma estratégia de preservação funcional.</w:t>
      </w:r>
    </w:p>
    <w:p w14:paraId="66880A44"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10. Referências bibliográficas</w:t>
      </w:r>
    </w:p>
    <w:p w14:paraId="0BFEC426"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Lopez AJ, Scheer KJ, Leibl KE, Smith ZA, Dlouhy BJ, Dahdaleh NS. Anatomy and biomechanics of the craniovertebral junction. Neurosurg Focus. 2015;38:1-8.</w:t>
      </w:r>
    </w:p>
    <w:p w14:paraId="47B7996E"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Smoker WRK, Khanna G. Imaging the craniocervical junction. Childs Nerv Syst. 2008;24:1123-45.</w:t>
      </w:r>
    </w:p>
    <w:p w14:paraId="6985F091"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Vaccaro AR. AO Spine upper cervical injury classification system: a description and reliability study. Spine J. 2022;22:2042-9.</w:t>
      </w:r>
    </w:p>
    <w:p w14:paraId="526AE230"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Mead LB, Millhouse PW, Krystal J, Vaccaro AR. C1 fractures: a review of diagnoses, management options, and outcomes. Curr Rev Musculoskelet Med. 2016;9:255-62.</w:t>
      </w:r>
    </w:p>
    <w:p w14:paraId="69741A69"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Koller H, Robinson Y. Cervical spine surgery: standard and advanced techniques: Cervical Spine Research Society-Europe instructional surgical atlas. Springer International Publishing; 2019.</w:t>
      </w:r>
    </w:p>
    <w:p w14:paraId="26261938"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Suchomel P, Choutka O. Reconstruction of upper cervical spine and craniovertebral junction. Springer; 2014.</w:t>
      </w:r>
    </w:p>
    <w:p w14:paraId="1EA2427A"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Niu HG, Zhang JJ, Yan YZ, Yang K, Zhang YS. Direct osteosynthesis in the treatment of atlas burst fractures: a systematic review. J Orthop Surg Res. 2024;19:1.</w:t>
      </w:r>
    </w:p>
    <w:p w14:paraId="51DD0096"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Denton H. Isolated C1 arch fractures: C1-2 fusion vs. C1 osteosynthesis-surgical strategies for potentially unstable injuries. Eur Spine J. 2024;33:3904-14.</w:t>
      </w:r>
    </w:p>
    <w:p w14:paraId="266C5229"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Cai M. Comparison of transoral anterior Jefferson-fracture reduction plate and posterior screw-rod fixation in C1-ring osteosynthesis for unstable atlas fractures. Neurospine. 2024;21:544-54.</w:t>
      </w:r>
    </w:p>
    <w:p w14:paraId="2498B64E"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Niu HG. Monoaxial screws versus polyaxial screws osteosynthesis for unstable atlas fractures: a retrospective, comparative study with a minimum follow-up of 3 years. Global Spine J. 2025;15:31-40.</w:t>
      </w:r>
    </w:p>
    <w:p w14:paraId="119685C9"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German JW, Hart BL, Benzel EC. Nonoperative management of vertical C2 body fractures. Neurosurgery. 2005;56:516-20.</w:t>
      </w:r>
    </w:p>
    <w:p w14:paraId="56973361"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Ruf M, Welk T, Müller M, Merk HR, Harms J. Ventral cancellous bone augmentation of the dens and temporary instrumentation C1/C2 as a function-preserving option in the treatment of dens pseudarthrosis. J Spinal Disord Tech. 2010;23:285-92.</w:t>
      </w:r>
    </w:p>
    <w:p w14:paraId="019AF565"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Lacy J, Bajaj J, Gillis CC. Atlantoaxial instability. StatPearls. 2023 Jun.</w:t>
      </w:r>
    </w:p>
    <w:p w14:paraId="30C4DF69"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Goel A, Bhatjiwale M, Desai K. Basilar invagination: a study based on 190 surgically treated patients. J Neurosurg. 1998;88:962-8.</w:t>
      </w:r>
    </w:p>
    <w:p w14:paraId="0BBB9012"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Tschugg A, Hartmann S, Thomé C. Basilar invagination spine surgery: a case-based approach. 2023;423-8.</w:t>
      </w:r>
    </w:p>
    <w:p w14:paraId="3592C81C"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Klekamp J. Treatment of basilar invagination. Eur Spine J. 2014;23(8):1656-65.</w:t>
      </w:r>
    </w:p>
    <w:p w14:paraId="5B13B9E4"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Da Silva LECT, De Barros AGC, De Castro CJ, De Souza RT, Azevedo GBL, Casado PL. Results of the use of PEEK cages in the treatment of basilar invagination by Goel technique. Coluna/Columna. 2016;15:61-4.</w:t>
      </w:r>
    </w:p>
    <w:p w14:paraId="1ECF4EA6"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Silva JDS, Silva LECT, Silva FGS, Tavares RH, Barros AGC. Labiomandibular glossotomy approach for craniocervical pathologies-spine reconstruction. Coluna/Columna. 2021;20:137-43.</w:t>
      </w:r>
    </w:p>
    <w:p w14:paraId="12090296"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Joaquim AF, Ghizoni E, Tedeschi H, Appenzeller S, Riew KD. Radiological evaluation of cervical spine involvement in rheumatoid arthritis. Neurosurg Focus. 2015;38:1-7.</w:t>
      </w:r>
    </w:p>
    <w:p w14:paraId="7EB4E485"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Silva LECT, Barros AGC, Pereira MGS. Rheumatoid arthritis of the craniovertebral junction: surgical strategies, current approach and proposal of a new therapeutic algorithm. J Rheum Dis Treat. 2017;3:2.</w:t>
      </w:r>
    </w:p>
    <w:p w14:paraId="7CAFACB6"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Wolfs JFC, Kloppenburg M, Fehlings MG, Van Tulder MW, Boers M, Peul WC. Neurologic outcome of surgical and conservative treatment of rheumatoid cervical spine subluxation: a systematic review. Arthritis Care Res (Hoboken). 2009;61:1743-52.</w:t>
      </w:r>
    </w:p>
    <w:p w14:paraId="7A81BF9E"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Goel A, Shah A, Gupta SR. Craniovertebral instability due to degenerative osteoarthritis of the atlantoaxial joints: analysis of the management of 108 cases. J Neurosurg Spine. 2010;12:592-601.</w:t>
      </w:r>
    </w:p>
    <w:p w14:paraId="5EA11A31" w14:textId="77777777" w:rsidR="00F77032" w:rsidRPr="00F77032" w:rsidRDefault="00F77032" w:rsidP="00F77032">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Silva LT, Khan A, Barros AC, Krywinski F, Fagundes CA, Silva FS. A novel classification and algorithmic-based management of craniovertebral junction osteoarthrosis. J Craniovertebr Junction Spine. 2020;11:321-30.</w:t>
      </w:r>
    </w:p>
    <w:p w14:paraId="13AA19AB"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11. Metadados para publicação</w:t>
      </w:r>
    </w:p>
    <w:p w14:paraId="7FA7627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lastRenderedPageBreak/>
        <w:t>Título SEO:</w:t>
      </w:r>
      <w:r w:rsidRPr="00F77032">
        <w:rPr>
          <w:rFonts w:ascii="Times New Roman" w:eastAsia="Times New Roman" w:hAnsi="Times New Roman" w:cs="Times New Roman"/>
          <w:color w:val="000000"/>
          <w:kern w:val="0"/>
          <w14:ligatures w14:val="none"/>
        </w:rPr>
        <w:t> Junção craniovertebral: diagnóstico e tratamento</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Meta descrição:</w:t>
      </w:r>
      <w:r w:rsidRPr="00F77032">
        <w:rPr>
          <w:rFonts w:ascii="Times New Roman" w:eastAsia="Times New Roman" w:hAnsi="Times New Roman" w:cs="Times New Roman"/>
          <w:color w:val="000000"/>
          <w:kern w:val="0"/>
          <w14:ligatures w14:val="none"/>
        </w:rPr>
        <w:t> Anatomia, biomecânica, trauma, instabilidade e doenças da junção craniovertebral, com princípios de avaliação por imagem e tratamento.</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Resumo de chamada:</w:t>
      </w:r>
      <w:r w:rsidRPr="00F77032">
        <w:rPr>
          <w:rFonts w:ascii="Times New Roman" w:eastAsia="Times New Roman" w:hAnsi="Times New Roman" w:cs="Times New Roman"/>
          <w:color w:val="000000"/>
          <w:kern w:val="0"/>
          <w14:ligatures w14:val="none"/>
        </w:rPr>
        <w:t> Anatomia, estabilidade, trauma e doenças adquiridas da junção craniovertebral, com atenção à imagem, risco neurológico e preservação do movimento.</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Slug:</w:t>
      </w:r>
      <w:r w:rsidRPr="00F77032">
        <w:rPr>
          <w:rFonts w:ascii="Times New Roman" w:eastAsia="Times New Roman" w:hAnsi="Times New Roman" w:cs="Times New Roman"/>
          <w:color w:val="000000"/>
          <w:kern w:val="0"/>
          <w14:ligatures w14:val="none"/>
        </w:rPr>
        <w:t> </w:t>
      </w:r>
      <w:r w:rsidRPr="00F77032">
        <w:rPr>
          <w:rFonts w:ascii="Courier New" w:eastAsia="Times New Roman" w:hAnsi="Courier New" w:cs="Courier New"/>
          <w:color w:val="000000"/>
          <w:kern w:val="0"/>
          <w:sz w:val="20"/>
          <w:szCs w:val="20"/>
          <w14:ligatures w14:val="none"/>
        </w:rPr>
        <w:t>juncao-craniovertebral</w:t>
      </w:r>
    </w:p>
    <w:p w14:paraId="5378D1DC" w14:textId="77777777" w:rsidR="00F77032" w:rsidRPr="00F77032" w:rsidRDefault="009C0497" w:rsidP="00F77032">
      <w:pPr>
        <w:spacing w:after="0" w:line="240" w:lineRule="auto"/>
        <w:rPr>
          <w:rFonts w:ascii="Times New Roman" w:eastAsia="Times New Roman" w:hAnsi="Times New Roman" w:cs="Times New Roman"/>
          <w:kern w:val="0"/>
          <w14:ligatures w14:val="none"/>
        </w:rPr>
      </w:pPr>
      <w:r w:rsidRPr="009C0497">
        <w:rPr>
          <w:rFonts w:ascii="Times New Roman" w:eastAsia="Times New Roman" w:hAnsi="Times New Roman" w:cs="Times New Roman"/>
          <w:noProof/>
          <w:kern w:val="0"/>
        </w:rPr>
        <w:pict w14:anchorId="6001857C">
          <v:rect id="_x0000_i1033" style="width:0;height:1.5pt" o:hralign="center" o:hrstd="t" o:hr="t" fillcolor="#a0a0a0" stroked="f"/>
        </w:pict>
      </w:r>
    </w:p>
    <w:p w14:paraId="5D17B6F8" w14:textId="77777777" w:rsidR="00F77032" w:rsidRPr="00F77032" w:rsidRDefault="00F77032" w:rsidP="00F7703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77032">
        <w:rPr>
          <w:rFonts w:ascii="Times New Roman" w:eastAsia="Times New Roman" w:hAnsi="Times New Roman" w:cs="Times New Roman"/>
          <w:b/>
          <w:bCs/>
          <w:color w:val="000000"/>
          <w:kern w:val="36"/>
          <w:sz w:val="48"/>
          <w:szCs w:val="48"/>
          <w14:ligatures w14:val="none"/>
        </w:rPr>
        <w:t>CAPÍTULO 102 — MANEJO DA DOR AGUDA E CRÔNICA NA COLUNA VERTEBRAL</w:t>
      </w:r>
    </w:p>
    <w:p w14:paraId="71D31DF5"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 Identificação</w:t>
      </w:r>
    </w:p>
    <w:p w14:paraId="4B31465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Número:</w:t>
      </w:r>
      <w:r w:rsidRPr="00F77032">
        <w:rPr>
          <w:rFonts w:ascii="Times New Roman" w:eastAsia="Times New Roman" w:hAnsi="Times New Roman" w:cs="Times New Roman"/>
          <w:color w:val="000000"/>
          <w:kern w:val="0"/>
          <w14:ligatures w14:val="none"/>
        </w:rPr>
        <w:t> 102</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Título:</w:t>
      </w:r>
      <w:r w:rsidRPr="00F77032">
        <w:rPr>
          <w:rFonts w:ascii="Times New Roman" w:eastAsia="Times New Roman" w:hAnsi="Times New Roman" w:cs="Times New Roman"/>
          <w:color w:val="000000"/>
          <w:kern w:val="0"/>
          <w14:ligatures w14:val="none"/>
        </w:rPr>
        <w:t> Manejo da Dor Aguda e Crônica na Coluna Vertebral</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Seção:</w:t>
      </w:r>
      <w:r w:rsidRPr="00F77032">
        <w:rPr>
          <w:rFonts w:ascii="Times New Roman" w:eastAsia="Times New Roman" w:hAnsi="Times New Roman" w:cs="Times New Roman"/>
          <w:color w:val="000000"/>
          <w:kern w:val="0"/>
          <w14:ligatures w14:val="none"/>
        </w:rPr>
        <w:t> Seção 10 — Temas Complementares</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Autores:</w:t>
      </w:r>
      <w:r w:rsidRPr="00F77032">
        <w:rPr>
          <w:rFonts w:ascii="Times New Roman" w:eastAsia="Times New Roman" w:hAnsi="Times New Roman" w:cs="Times New Roman"/>
          <w:color w:val="000000"/>
          <w:kern w:val="0"/>
          <w14:ligatures w14:val="none"/>
        </w:rPr>
        <w:t> Roberta Cristina Risso; Karen Santos Braghiroli</w:t>
      </w:r>
    </w:p>
    <w:p w14:paraId="3C64B866"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2. Contexto</w:t>
      </w:r>
    </w:p>
    <w:p w14:paraId="7F02E26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dor relacionada à coluna é uma das queixas musculoesqueléticas mais frequentes e produz repercussões funcionais, sociais e econômicas significativas. Embora grande parte dos episódios agudos apresente evolução favorável, a persistência dos sintomas pode envolver sensibilização periférica e central, fatores psicossociais e mecanismos distintos de dor. O desafio clínico não consiste apenas em quantificar sua intensidade, mas em reconhecer a provável origem, distinguir componentes nociceptivos, neuropáticos e nociplásticos, identificar condições graves e avaliar a repercussão funcional. O capítulo também diferencia as chamadas bandeiras vermelhas, que sugerem patologias potencialmente relevantes, das bandeiras amarelas, relacionadas ao risco de cronificação e incapacidade. Essa abordagem amplia o manejo além da prescrição de analgésicos e incorpora educação, atividade física, intervenções psicológicas, farmacoterapia individualizada e procedimentos intervencionistas para situações selecionadas.</w:t>
      </w:r>
    </w:p>
    <w:p w14:paraId="2CB3FF28"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3. Objetivo do capítulo</w:t>
      </w:r>
    </w:p>
    <w:p w14:paraId="1050598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Apresentar uma abordagem estruturada da dor aguda e crônica da coluna, desde a identificação dos mecanismos fisiopatológicos e das principais etiologias até a avaliação clínica e funcional. O leitor deverá compreender o papel das medidas farmacológicas, não farmacológicas e intervencionistas, reconhecer fatores de cronificação e utilizar objetivos terapêuticos centrados em funcionalidade e qualidade de vida.</w:t>
      </w:r>
    </w:p>
    <w:p w14:paraId="758677A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lastRenderedPageBreak/>
        <w:t>4. Conteúdo principal</w:t>
      </w:r>
    </w:p>
    <w:p w14:paraId="42A896E2"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Dor aguda, crônica e mecanismos</w:t>
      </w:r>
    </w:p>
    <w:p w14:paraId="58B140E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dor aguda cumpre função de alerta, enquanto sua persistência pode acompanhar mudanças na excitabilidade do sistema nervoso. O capítulo diferencia dor nociceptiva, relacionada à ativação de nociceptores; neuropática, associada a lesão ou doença do sistema somatossensorial; e nociplástica, na qual existe nocicepção alterada sem demonstração suficiente de dano tecidual ou lesão somatossensorial que explique isoladamente o quadro.</w:t>
      </w:r>
    </w:p>
    <w:p w14:paraId="2312DD5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Quadro 102.1 organiza fatores associados à cronificação, incluindo elementos de estilo de vida, aspectos emocionais, comportamento de medo e evitação, ambiente ocupacional e maior carga inicial de doença.</w:t>
      </w:r>
    </w:p>
    <w:p w14:paraId="25C23823"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Identificar a causa antes de tratar</w:t>
      </w:r>
    </w:p>
    <w:p w14:paraId="26F04EE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discogênica, radicular, facetária, miofascial, sacroilíaca e inflamatória apresentam características diferentes. Infecção, fratura, neoplasia e outras condições menos frequentes precisam ser lembradas quando o contexto clínico as torna plausíveis.</w:t>
      </w:r>
    </w:p>
    <w:p w14:paraId="6C10235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magnitude de uma alteração radiológica não corresponde necessariamente à intensidade dos sintomas. Esse princípio é particularmente importante ao interpretar alterações degenerativas e hérnias discais.</w:t>
      </w:r>
    </w:p>
    <w:p w14:paraId="42280975"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Avaliação clínica e funcional</w:t>
      </w:r>
    </w:p>
    <w:p w14:paraId="14FFB35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investigação começa pela anamnese estruturada, apresentada no Quadro 102.2, e pelo exame físico e neurológico. Postura, marcha, amplitude de movimento, palpação e impacto funcional complementam a avaliação.</w:t>
      </w:r>
    </w:p>
    <w:p w14:paraId="308F97F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Escalas simples mensuram intensidade, enquanto instrumentos multidimensionais exploram características sensoriais, afetivas e funcionais. O capítulo apresenta, entre outros, escala visual analógica, escala numérica verbal, questionário de McGill, Inventário Breve de Dor, Neck Disability Index e Roland-Morris Disability Questionnaire.</w:t>
      </w:r>
    </w:p>
    <w:p w14:paraId="0FC5177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Exames de imagem devem ser utilizados de forma seletiva, especialmente quando há sinais de alerta ou quando o resultado tem potencial para modificar o tratamento.</w:t>
      </w:r>
    </w:p>
    <w:p w14:paraId="172260C4"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Tratamento agudo e crônico</w:t>
      </w:r>
    </w:p>
    <w:p w14:paraId="1CE6F09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Nos quadros agudos sem sinais de gravidade, a estratégia privilegia educação, manutenção de atividade, exercícios progressivos e tratamento sintomático individualizado. Analgésicos e anti-inflamatórios podem integrar o plano, enquanto opioides ficam reservados a situações de maior intensidade ou refratariedade e por período limitado.</w:t>
      </w:r>
    </w:p>
    <w:p w14:paraId="62A8528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Na dor crônica, a meta passa progressivamente da simples redução da intensidade dolorosa para recuperação funcional e qualidade de vida. Neuromoduladores, terapias psicológicas e exercício podem assumir papel importante.</w:t>
      </w:r>
    </w:p>
    <w:p w14:paraId="6E71F88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Quando medidas conservadoras são insuficientes, bloqueios diagnósticos e terapêuticos, radiofrequência, injeções epidurais ou neuromodulação podem ser considerados de acordo com o provável gerador da dor e a seleção clínica.</w:t>
      </w:r>
    </w:p>
    <w:p w14:paraId="2559235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5. Aplicação clínica</w:t>
      </w:r>
    </w:p>
    <w:p w14:paraId="67ACE26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tratamento começa definindo qual problema está sendo tratado. Dor axial, radicular ou mista; componentes nociceptivos, neuropáticos ou nociplásticos; impacto funcional; fatores emocionais e sinais de doença grave precisam ser identificados antes do escalonamento terapêutico.</w:t>
      </w:r>
    </w:p>
    <w:p w14:paraId="6E7716B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Tabela 102.2 oferece uma distinção prática entre bandeiras amarelas e vermelhas. As primeiras orientam atenção ao risco de incapacidade persistente; as últimas podem justificar investigação diagnóstica mais imediata. Nenhum desses elementos deve ser interpretado isoladamente, mas dentro da história e do exame.</w:t>
      </w:r>
    </w:p>
    <w:p w14:paraId="69AF16E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Nos quadros crônicos, repetir prescrições ou aumentar progressivamente a carga medicamentosa sem revisar o diagnóstico constitui uma estratégia insuficiente. O capítulo favorece participação ativa do paciente, exercícios, intervenções psicológicas quando indicadas e uso criterioso de medicamentos.</w:t>
      </w:r>
    </w:p>
    <w:p w14:paraId="7D0EDDE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Procedimentos intervencionistas também exigem diagnóstico: bloqueios podem ajudar a identificar determinados geradores de dor antes de intervenções mais duradouras. Em pacientes com múltiplos fatores de mau prognóstico, expectativas e objetivos funcionais devem ser explicitamente discutidos antes de qualquer procedimento.</w:t>
      </w:r>
    </w:p>
    <w:p w14:paraId="3E63F16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6. Mensagem central</w:t>
      </w:r>
    </w:p>
    <w:p w14:paraId="1B30303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manejo da dor da coluna exige compreender mecanismo, causa provável, contexto psicossocial e impacto funcional. A intensidade da dor isoladamente não define o diagnóstico nem a estratégia. Quadros agudos e crônicos requerem objetivos diferentes, e o tratamento mais consistente é multimodal, individualizado e orientado para recuperação funcional, com uso criterioso de fármacos, intervenções e exames de imagem.</w:t>
      </w:r>
    </w:p>
    <w:p w14:paraId="22B6923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7. Por que este capítulo importa</w:t>
      </w:r>
    </w:p>
    <w:p w14:paraId="5114E2F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na coluna é frequente, mas isso não a torna simples. Tanto o subtratamento quanto o excesso de exames, medicamentos e intervenções podem gerar consequências. Distinguir uma condição autolimitada de uma situação que exige investigação, reconhecer fatores de cronificação e compreender diferentes mecanismos de dor ajudam a evitar dois erros opostos: negligenciar doença relevante e medicalizar excessivamente alterações sem correlação clínica. O capítulo coloca funcionalidade, diagnóstico e participação do paciente no centro da decisão.</w:t>
      </w:r>
    </w:p>
    <w:p w14:paraId="2954B98F"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lastRenderedPageBreak/>
        <w:t>8. Descritores DeCS e MeSH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555"/>
      </w:tblGrid>
      <w:tr w:rsidR="00F77032" w:rsidRPr="00F77032" w14:paraId="7E583E69" w14:textId="77777777">
        <w:trPr>
          <w:tblHeader/>
          <w:tblCellSpacing w:w="15" w:type="dxa"/>
        </w:trPr>
        <w:tc>
          <w:tcPr>
            <w:tcW w:w="0" w:type="auto"/>
            <w:vAlign w:val="center"/>
            <w:hideMark/>
          </w:tcPr>
          <w:p w14:paraId="325F7EE3" w14:textId="77777777" w:rsidR="00F77032" w:rsidRPr="00F77032" w:rsidRDefault="00F77032" w:rsidP="00F77032">
            <w:pPr>
              <w:spacing w:after="0" w:line="240" w:lineRule="auto"/>
              <w:jc w:val="center"/>
              <w:rPr>
                <w:rFonts w:ascii="Times New Roman" w:eastAsia="Times New Roman" w:hAnsi="Times New Roman" w:cs="Times New Roman"/>
                <w:b/>
                <w:bCs/>
                <w:color w:val="000000"/>
                <w:kern w:val="0"/>
                <w14:ligatures w14:val="none"/>
              </w:rPr>
            </w:pPr>
            <w:r w:rsidRPr="00F77032">
              <w:rPr>
                <w:rFonts w:ascii="Times New Roman" w:eastAsia="Times New Roman" w:hAnsi="Times New Roman" w:cs="Times New Roman"/>
                <w:b/>
                <w:bCs/>
                <w:color w:val="000000"/>
                <w:kern w:val="0"/>
                <w14:ligatures w14:val="none"/>
              </w:rPr>
              <w:t>DeCS</w:t>
            </w:r>
          </w:p>
        </w:tc>
        <w:tc>
          <w:tcPr>
            <w:tcW w:w="0" w:type="auto"/>
            <w:vAlign w:val="center"/>
            <w:hideMark/>
          </w:tcPr>
          <w:p w14:paraId="14939F70" w14:textId="77777777" w:rsidR="00F77032" w:rsidRPr="00F77032" w:rsidRDefault="00F77032" w:rsidP="00F77032">
            <w:pPr>
              <w:spacing w:after="0" w:line="240" w:lineRule="auto"/>
              <w:jc w:val="center"/>
              <w:rPr>
                <w:rFonts w:ascii="Times New Roman" w:eastAsia="Times New Roman" w:hAnsi="Times New Roman" w:cs="Times New Roman"/>
                <w:b/>
                <w:bCs/>
                <w:color w:val="000000"/>
                <w:kern w:val="0"/>
                <w14:ligatures w14:val="none"/>
              </w:rPr>
            </w:pPr>
            <w:r w:rsidRPr="00F77032">
              <w:rPr>
                <w:rFonts w:ascii="Times New Roman" w:eastAsia="Times New Roman" w:hAnsi="Times New Roman" w:cs="Times New Roman"/>
                <w:b/>
                <w:bCs/>
                <w:color w:val="000000"/>
                <w:kern w:val="0"/>
                <w14:ligatures w14:val="none"/>
              </w:rPr>
              <w:t>MeSH</w:t>
            </w:r>
          </w:p>
        </w:tc>
      </w:tr>
      <w:tr w:rsidR="00F77032" w:rsidRPr="00F77032" w14:paraId="25E22565" w14:textId="77777777">
        <w:trPr>
          <w:tblCellSpacing w:w="15" w:type="dxa"/>
        </w:trPr>
        <w:tc>
          <w:tcPr>
            <w:tcW w:w="0" w:type="auto"/>
            <w:vAlign w:val="center"/>
            <w:hideMark/>
          </w:tcPr>
          <w:p w14:paraId="1A5F413A"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w:t>
            </w:r>
          </w:p>
        </w:tc>
        <w:tc>
          <w:tcPr>
            <w:tcW w:w="0" w:type="auto"/>
            <w:vAlign w:val="center"/>
            <w:hideMark/>
          </w:tcPr>
          <w:p w14:paraId="535603F1"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Pain</w:t>
            </w:r>
          </w:p>
        </w:tc>
      </w:tr>
      <w:tr w:rsidR="00F77032" w:rsidRPr="00F77032" w14:paraId="2FC5D1CE" w14:textId="77777777">
        <w:trPr>
          <w:tblCellSpacing w:w="15" w:type="dxa"/>
        </w:trPr>
        <w:tc>
          <w:tcPr>
            <w:tcW w:w="0" w:type="auto"/>
            <w:vAlign w:val="center"/>
            <w:hideMark/>
          </w:tcPr>
          <w:p w14:paraId="6FC15C4B"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Aguda</w:t>
            </w:r>
          </w:p>
        </w:tc>
        <w:tc>
          <w:tcPr>
            <w:tcW w:w="0" w:type="auto"/>
            <w:vAlign w:val="center"/>
            <w:hideMark/>
          </w:tcPr>
          <w:p w14:paraId="67FEA9D2"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Acute Pain</w:t>
            </w:r>
          </w:p>
        </w:tc>
      </w:tr>
      <w:tr w:rsidR="00F77032" w:rsidRPr="00F77032" w14:paraId="4E6E1F6E" w14:textId="77777777">
        <w:trPr>
          <w:tblCellSpacing w:w="15" w:type="dxa"/>
        </w:trPr>
        <w:tc>
          <w:tcPr>
            <w:tcW w:w="0" w:type="auto"/>
            <w:vAlign w:val="center"/>
            <w:hideMark/>
          </w:tcPr>
          <w:p w14:paraId="530E909F"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Crônica</w:t>
            </w:r>
          </w:p>
        </w:tc>
        <w:tc>
          <w:tcPr>
            <w:tcW w:w="0" w:type="auto"/>
            <w:vAlign w:val="center"/>
            <w:hideMark/>
          </w:tcPr>
          <w:p w14:paraId="70CEF3DB"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Chronic Pain</w:t>
            </w:r>
          </w:p>
        </w:tc>
      </w:tr>
      <w:tr w:rsidR="00F77032" w:rsidRPr="00F77032" w14:paraId="13ECF175" w14:textId="77777777">
        <w:trPr>
          <w:tblCellSpacing w:w="15" w:type="dxa"/>
        </w:trPr>
        <w:tc>
          <w:tcPr>
            <w:tcW w:w="0" w:type="auto"/>
            <w:vAlign w:val="center"/>
            <w:hideMark/>
          </w:tcPr>
          <w:p w14:paraId="71B89700"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Lombar</w:t>
            </w:r>
          </w:p>
        </w:tc>
        <w:tc>
          <w:tcPr>
            <w:tcW w:w="0" w:type="auto"/>
            <w:vAlign w:val="center"/>
            <w:hideMark/>
          </w:tcPr>
          <w:p w14:paraId="5185C53F"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Low Back Pain</w:t>
            </w:r>
          </w:p>
        </w:tc>
      </w:tr>
      <w:tr w:rsidR="00F77032" w:rsidRPr="00F77032" w14:paraId="5437B109" w14:textId="77777777">
        <w:trPr>
          <w:tblCellSpacing w:w="15" w:type="dxa"/>
        </w:trPr>
        <w:tc>
          <w:tcPr>
            <w:tcW w:w="0" w:type="auto"/>
            <w:vAlign w:val="center"/>
            <w:hideMark/>
          </w:tcPr>
          <w:p w14:paraId="03F7DAB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Cervical</w:t>
            </w:r>
          </w:p>
        </w:tc>
        <w:tc>
          <w:tcPr>
            <w:tcW w:w="0" w:type="auto"/>
            <w:vAlign w:val="center"/>
            <w:hideMark/>
          </w:tcPr>
          <w:p w14:paraId="568F5834"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Neck Pain</w:t>
            </w:r>
          </w:p>
        </w:tc>
      </w:tr>
      <w:tr w:rsidR="00F77032" w:rsidRPr="00F77032" w14:paraId="5D9F4A33" w14:textId="77777777">
        <w:trPr>
          <w:tblCellSpacing w:w="15" w:type="dxa"/>
        </w:trPr>
        <w:tc>
          <w:tcPr>
            <w:tcW w:w="0" w:type="auto"/>
            <w:vAlign w:val="center"/>
            <w:hideMark/>
          </w:tcPr>
          <w:p w14:paraId="778F808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Neuralgia</w:t>
            </w:r>
          </w:p>
        </w:tc>
        <w:tc>
          <w:tcPr>
            <w:tcW w:w="0" w:type="auto"/>
            <w:vAlign w:val="center"/>
            <w:hideMark/>
          </w:tcPr>
          <w:p w14:paraId="5743C311"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Neuralgia</w:t>
            </w:r>
          </w:p>
        </w:tc>
      </w:tr>
      <w:tr w:rsidR="00F77032" w:rsidRPr="00F77032" w14:paraId="50B7B05D" w14:textId="77777777">
        <w:trPr>
          <w:tblCellSpacing w:w="15" w:type="dxa"/>
        </w:trPr>
        <w:tc>
          <w:tcPr>
            <w:tcW w:w="0" w:type="auto"/>
            <w:vAlign w:val="center"/>
            <w:hideMark/>
          </w:tcPr>
          <w:p w14:paraId="42EE7D5D"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Analgésicos</w:t>
            </w:r>
          </w:p>
        </w:tc>
        <w:tc>
          <w:tcPr>
            <w:tcW w:w="0" w:type="auto"/>
            <w:vAlign w:val="center"/>
            <w:hideMark/>
          </w:tcPr>
          <w:p w14:paraId="524C35C5"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Analgesics</w:t>
            </w:r>
          </w:p>
        </w:tc>
      </w:tr>
      <w:tr w:rsidR="00F77032" w:rsidRPr="00F77032" w14:paraId="334B58D2" w14:textId="77777777">
        <w:trPr>
          <w:tblCellSpacing w:w="15" w:type="dxa"/>
        </w:trPr>
        <w:tc>
          <w:tcPr>
            <w:tcW w:w="0" w:type="auto"/>
            <w:vAlign w:val="center"/>
            <w:hideMark/>
          </w:tcPr>
          <w:p w14:paraId="31F5CBE8"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Qualidade de Vida</w:t>
            </w:r>
          </w:p>
        </w:tc>
        <w:tc>
          <w:tcPr>
            <w:tcW w:w="0" w:type="auto"/>
            <w:vAlign w:val="center"/>
            <w:hideMark/>
          </w:tcPr>
          <w:p w14:paraId="3D9C613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Quality of Life</w:t>
            </w:r>
          </w:p>
        </w:tc>
      </w:tr>
    </w:tbl>
    <w:p w14:paraId="6C9B4D3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Palavra-chave livre:</w:t>
      </w:r>
      <w:r w:rsidRPr="00F77032">
        <w:rPr>
          <w:rFonts w:ascii="Times New Roman" w:eastAsia="Times New Roman" w:hAnsi="Times New Roman" w:cs="Times New Roman"/>
          <w:color w:val="000000"/>
          <w:kern w:val="0"/>
          <w14:ligatures w14:val="none"/>
        </w:rPr>
        <w:t> dor nociplástica.</w:t>
      </w:r>
    </w:p>
    <w:p w14:paraId="1CED805C"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9. Cards</w:t>
      </w:r>
    </w:p>
    <w:p w14:paraId="5E621360"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1 — Dor tem mecanismos diferentes</w:t>
      </w:r>
    </w:p>
    <w:p w14:paraId="738E2E6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nociceptiva, neuropática e nociplástica não são apenas maneiras distintas de descrever intensidade. Elas representam mecanismos diferentes e podem coexistir. Reconhecer o componente predominante ajuda a evitar tratamentos padronizados para situações biologicamente distintas.</w:t>
      </w:r>
    </w:p>
    <w:p w14:paraId="309802A9"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2 — Bandeiras orientam prioridades</w:t>
      </w:r>
    </w:p>
    <w:p w14:paraId="52AAD8F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Bandeiras vermelhas ajudam a reconhecer situações potencialmente graves, enquanto bandeiras amarelas chamam atenção para fatores psicossociais associados à cronificação e incapacidade. Ambas devem ser interpretadas dentro do contexto clínico e não como testes diagnósticos isolados.</w:t>
      </w:r>
    </w:p>
    <w:p w14:paraId="7F539309"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3 — Função é parte do desfecho</w:t>
      </w:r>
    </w:p>
    <w:p w14:paraId="443CCFC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 dor crônica, reduzir uma escala numérica não é o único objetivo. Capacidade para atividades diárias, retorno às funções habituais, sono, participação social e qualidade de vida precisam fazer parte da avaliação da resposta ao tratamento.</w:t>
      </w:r>
    </w:p>
    <w:p w14:paraId="6BFB1952"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10. Referências bibliográficas</w:t>
      </w:r>
    </w:p>
    <w:p w14:paraId="1B074272"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Allegri M, Montella S, Salici F, Valente A, Marchesini M, Compagnone C, et al. Mechanisms of low back pain: a guide for diagnosis and therapy. F1000Res. 2016;5:1530.</w:t>
      </w:r>
    </w:p>
    <w:p w14:paraId="008CD939"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Will JS, Bury DC, Miller JA. Mechanical low back pain. Am Fam Physician. 2018;98(7):421-8.</w:t>
      </w:r>
    </w:p>
    <w:p w14:paraId="36760FF6"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Barros SS, Angelo RCO, Uchoa EPBL. Lombalgia ocupacional e postura sentada. Rev Dor. 2011;12(3):226-30.</w:t>
      </w:r>
    </w:p>
    <w:p w14:paraId="6A4F294E"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Knezevic NN, Candido KD, Vlaeyen JWS, Zundert JV, Cohen SP. Low back pain. Lancet. 2021;398(10294):78-92.</w:t>
      </w:r>
    </w:p>
    <w:p w14:paraId="79F091F0"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Vasconcelos FH, Araujo GC. Prevalence of chronic pain in Brazil: a descriptive study. BrJP. 2018;1(2):176-9.</w:t>
      </w:r>
    </w:p>
    <w:p w14:paraId="1D1BA704"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Karpuz S, Yilmaz R, Solak I, Yılmaz H. The red and yellow flag awareness level of family physicians in low back pain. Euras J Fam Med. 2023;12(3):131-8.</w:t>
      </w:r>
    </w:p>
    <w:p w14:paraId="48E2FD79"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Aguiar PD, Souza CPQ. Prevalence of chronic pain in Brazil: systematic review. BrJP. 2021;4(3):257-67.</w:t>
      </w:r>
    </w:p>
    <w:p w14:paraId="4722ED90"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Kabeer AS, Osmani HT, Patel J, Robinson P, Ahmed N. The adult with low back pain: causes, diagnosis, imaging features and management. Br J Hosp Med. 2023;84(10):1-9.</w:t>
      </w:r>
    </w:p>
    <w:p w14:paraId="220088A7"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Corp N. Evidence-based treatment recommendations for neck and low back pain across Europe: a systematic review of guidelines. Eur J Pain. 2021;25(2):275-95.</w:t>
      </w:r>
    </w:p>
    <w:p w14:paraId="09873242"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Isa ILM, Teoh SL, Nor NHM, Mokhtar AS. Discogenic low back pain: anatomy, pathophysiology and treatment of intervertebral disc degeneration. Int J Mol Sci. 2023;24:1-16.</w:t>
      </w:r>
    </w:p>
    <w:p w14:paraId="229FBB4F"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Urits I, Burshtein A, Sharma M, Testa L, Gold PA, Orhurhu V, et al. Low back pain, a comprehensive review: pathophysiology, diagnosis, and treatment. Curr Pain Headache Rep. 2019;11:23.</w:t>
      </w:r>
    </w:p>
    <w:p w14:paraId="64E19B6A"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Hodges PW, Sanchez R, Pritchard S, Turnbull A, Hahne A, Ford J. Toward validation of clinical measures to discriminate between nociceptive, neuropathic, and nociplastic pain. Clin J Pain. 2025;41:e1281.</w:t>
      </w:r>
    </w:p>
    <w:p w14:paraId="3E1429EB"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Masters S. Acute cervical spine pain in primary care. Aust J Gen Pract. 2023;52(11):745-50.</w:t>
      </w:r>
    </w:p>
    <w:p w14:paraId="2698F23E"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Fairag M, Kurdi R, Alkathiry A, Alghamdi N, Alshehri R, Alturkistany FO, et al. Risk factors, prevention, and primary and secondary management of sciatica: an updated overview. Cureus. 2022;14(11):e31405.</w:t>
      </w:r>
    </w:p>
    <w:p w14:paraId="5491EE24"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Menezes MD, Pontes MDS, Herrero CFPS. Clinical and radiological parameters in malignant spinal tumor: a descriptive analysis. Acta Ortop Bras. 2025;33(1):1-4.</w:t>
      </w:r>
    </w:p>
    <w:p w14:paraId="7D69CF10"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Crisman E, Appenzeller-Herzog C, Tabakovic S, Nickel CH, Minotti B. Multidimensional versus unidimensional pain scales for the assessment of analgesic requirement in the emergency department: a systematic review. Intern Emerg Med. 2024;19(5):1463-71.</w:t>
      </w:r>
    </w:p>
    <w:p w14:paraId="5F399FE8"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Custers P, Kelft EV, Eeckhaut B, Sabbe W, Hofman A, Debuysscher A, et al. Clinical examination, diagnosis, and conservative treatment of chronic low back pain: a narrative review. Life. 2024;14:1090.</w:t>
      </w:r>
    </w:p>
    <w:p w14:paraId="40B8744D"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Falavigna A. Instrumentos de avaliação clínica e funcional em cirurgia da coluna vertebral. Coluna/Columna. 2011;10(1):62-7.</w:t>
      </w:r>
    </w:p>
    <w:p w14:paraId="7F5292D3"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Arishy AM, Mahfouz MS, Khalafalla HE, Atteya MME, Khormi YH. Management of low back pain in primary health-care settings: physician's awareness and practices based on red flags. J Multidiscip Health. 2022;15:1779-88.</w:t>
      </w:r>
    </w:p>
    <w:p w14:paraId="1DD7953A"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George SZ. Interventions for the management of acute and chronic low back pain: revision 2021. J Orthop Sports Phys Ther. 2021;51(11):CPG1-CPG60.</w:t>
      </w:r>
    </w:p>
    <w:p w14:paraId="72848D30"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Amaechi O, Huffman MM, Featherstone K. Pharmacologic therapy for acute pain. Am Fam Physician. 2021;104(1):63-72.</w:t>
      </w:r>
    </w:p>
    <w:p w14:paraId="62295057"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Feller D, Chiarotto A, Koes B, Maselli F, Mourad F. Red flags for potential serious pathologies in people with neck pain: a systematic review of clinical practice guidelines. Arch Physioter. 2024;14:105-15.</w:t>
      </w:r>
    </w:p>
    <w:p w14:paraId="65FBF4A4"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Finucane LM. International framework for red flags for potential serious spinal pathologies. J Orthop Sports Phys Ther. 2020;50(7):350-72.</w:t>
      </w:r>
    </w:p>
    <w:p w14:paraId="0DE52C05"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Wallwork SB, Braithwaite FA, O'Keeffe M, et al. The clinical course of acute, subacute and persistent low back pain: a systematic review and meta-analysis. CMAJ. 2024;196:E29-46.</w:t>
      </w:r>
    </w:p>
    <w:p w14:paraId="2BD679A2"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Van Tulder M, Becker A. Chapter 3 European guidelines for the management of acute non-specific low back pain in primary care. Eur Spine J. 2006;15:169-91.</w:t>
      </w:r>
    </w:p>
    <w:p w14:paraId="5E051012"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Chou R. Low back pain. Ann Intern Med. 2014;160:ITC6-1.</w:t>
      </w:r>
    </w:p>
    <w:p w14:paraId="034662AD"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Kotter T, Costa BR, Fassler M, et al. Metamizole-associated adverse events: a systematic review and meta-analysis. PLoS One. 2015;10(4):e0122918.</w:t>
      </w:r>
    </w:p>
    <w:p w14:paraId="3E443C0C"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Finnerup NB, Attal N, Haroutounian S, et al. Pharmacotherapy for neuropathic pain in adults: a systematic review and meta-analysis. Lancet Neurol. 2015;14(2):162-73.</w:t>
      </w:r>
    </w:p>
    <w:p w14:paraId="5AC070DA"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Qaseem A, Wilt TJ, McLean RM, Forciea MA, et al. Noninvasive treatments for acute, subacute, and chronic low back pain: a clinical practice guideline from the American College of Physicians. Ann Intern Med. 2017;166(7):514-30.</w:t>
      </w:r>
    </w:p>
    <w:p w14:paraId="23B63988"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Mathieson S, Lin CWC, Underwood M, Eldabe S. Pregabalin and gabapentin for pain. BMJ. 2020;369:m1315.</w:t>
      </w:r>
    </w:p>
    <w:p w14:paraId="20C9E42F"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Shanthanna H, Gilron I, Rajarathinam M, et al. Benefits and safety of gabapentinoids in chronic low back pain: a systematic review and meta-analysis of randomized controlled trials. PLoS Med. 2017;14(8):e1002369.</w:t>
      </w:r>
    </w:p>
    <w:p w14:paraId="7C43A760"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Enke O, New HA, New CH, et al. Anticonvulsants in the treatment of low back pain and lumbar radicular pain: a systematic review and meta-analysis. CMAJ. 2018;190(26):E786-E793.</w:t>
      </w:r>
    </w:p>
    <w:p w14:paraId="4A7918F1"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Orhurhu V, Orhurhu MS, Bhatia A, et al. Ketamine infusions for chronic pain: a systematic review and meta-analysis of randomized controlled trials. Anesth Analg. 2019;129(1):241-54.</w:t>
      </w:r>
    </w:p>
    <w:p w14:paraId="22BEB430"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Iacob E, Hagn EE, Sindt J, et al. Tertiary care clinical experience with intravenous lidocaine infusions for the treatment of chronic pain. Pain Med. 2018;19(6):1245-53.</w:t>
      </w:r>
    </w:p>
    <w:p w14:paraId="091358BA"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Barros GAM. Cannabinoid products for pain management: recommendations from the São Paulo State Society of Anesthesiology. Braz J Anesthesiol. 2024;74(4):844513.</w:t>
      </w:r>
    </w:p>
    <w:p w14:paraId="463F8F64"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Chung JW, Zeng Y, Wong TK. Drug therapy for the treatment of chronic nonspecific low back pain: systematic review and meta-analysis. Pain Physician. 2013;16(6):E685-E704.</w:t>
      </w:r>
    </w:p>
    <w:p w14:paraId="0F6CD589"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Chaparro LE, Furlan AD, Deshpande A, et al. Opioids compared to placebo or other treatments for chronic low-back pain. Cochrane Database Syst Rev. 2013;CD004959.</w:t>
      </w:r>
    </w:p>
    <w:p w14:paraId="5D4892F4"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Pineus T, Vlaeyen JWS. Cognitive-behavioral therapy and psychosocial factors in low back pain: directions for the future. Spine (Phila Pa 1976). 2002;27:E133-8.</w:t>
      </w:r>
    </w:p>
    <w:p w14:paraId="443A7E98"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Williams ACC, Fisher E, Hearn L, et al. Psychological therapies for the management of chronic pain excluding headache in adults. Cochrane Database Syst Rev. 2020;8:CD007407.</w:t>
      </w:r>
    </w:p>
    <w:p w14:paraId="131772E6"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Kwan-Yee Ho E, Chen L, Simic M. Psychological interventions for chronic, non-specific low back pain: systematic review with network meta-analysis. BMJ. 2022;376:e067718.</w:t>
      </w:r>
    </w:p>
    <w:p w14:paraId="059FA7B1"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Turk DC, Wilson HD, Cahana A. Treatment of chronic non-cancer pain. Lancet. 2011;377(9784):2226-35.</w:t>
      </w:r>
    </w:p>
    <w:p w14:paraId="58F0E560"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Sullivan M. The patient as agent of health and health care: autonomy in patient-centered care for chronic conditions. Nova York: Oxford University; 2017.</w:t>
      </w:r>
    </w:p>
    <w:p w14:paraId="2C9C76EF"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Geneen LJ, Moore RA, Clarke C, et al. Physical activity and exercise for chronic pain in adults: an overview of Cochrane Reviews. Cochrane Database Syst Rev. 2017;4:CD011279.</w:t>
      </w:r>
    </w:p>
    <w:p w14:paraId="098B6740"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Chou R, Deyo R, Friedly J, et al. Nonpharmacologic therapies for low back pain: a systematic review for an American College of Physicians clinical practice guideline. Ann Intern Med. 2017;166(7):493-505.</w:t>
      </w:r>
    </w:p>
    <w:p w14:paraId="4404AD1C"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Falla D, Hodges PW. Individualized exercise interventions for spinal pain. Exerc Sport Sci Rev. 2017;45:105-15.</w:t>
      </w:r>
    </w:p>
    <w:p w14:paraId="0271E11E"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Ferro MFK, Lenoir D. Prescription of exercises for the treatment of chronic pain along the continuum of nociplastic pain: a systematic review with meta-analysis. Eur J Pain. 2021;25:51-70.</w:t>
      </w:r>
    </w:p>
    <w:p w14:paraId="65D5FC7C"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Weifen W, Muheremu A, Chaohui C, Wenge L, Lei S. Effectiveness of tai chi practice for non-specific chronic low back pain on retired athletes: a randomized controlled study. J Musculoskelet Pain. 2013;21:37-45.</w:t>
      </w:r>
    </w:p>
    <w:p w14:paraId="5D4410EA"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Williams K, Abildso C, Steinberg L, Doyle E, Epstein B, Smith D, et al. Evaluation of the effectiveness and efficacy of Iyengar yoga therapy on chronic low back pain. Spine (Phila Pa 1976). 2009;34:2066-76.</w:t>
      </w:r>
    </w:p>
    <w:p w14:paraId="1749D91F"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Cohen SP, Bhaskar A, Bhatia A, et al. Consensus practice guidelines on interventions for lumbar facet joint pain from a multispecialty, international working group. Reg Anesth Pain Med. 2020;45(6):424-67.</w:t>
      </w:r>
    </w:p>
    <w:p w14:paraId="071B3443"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Cohen SP, Chen Y, Neufeld NJ. Sacroiliac joint pain: a comprehensive review of epidemiology, diagnosis and treatment. Expert Rev Neurother. 2013;13(1):99-116.</w:t>
      </w:r>
    </w:p>
    <w:p w14:paraId="39B09215"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Sayed D, Grider J, Strand N, et al. The American Society of Pain and Neuroscience evidence-based clinical guideline of interventional treatments for low back pain. J Pain Res. 2022;15:3729-832.</w:t>
      </w:r>
    </w:p>
    <w:p w14:paraId="45E0FBC2"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Manchikanti L, Knezevic NN, Navani A, et al. Epidural interventions in the management of chronic spinal pain: American Society of Interventional Pain Physicians comprehensive evidence-based guidelines. Pain Physician. 2021;24(S1):S27-S208.</w:t>
      </w:r>
    </w:p>
    <w:p w14:paraId="632709EE"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Koc Z, Ozeakir S. Effectiveness of physical therapy and epidural steroid injections in lumbar spinal stenosis. Spine (Phila Pa 1976). 2009;34:985-9.</w:t>
      </w:r>
    </w:p>
    <w:p w14:paraId="6BB4E219"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Guzzi G. Anatomo-physiological basis and applied techniques of electrical neuromodulation in chronic pain. J Anesth Analg Crit Care. 2024;4(1):29.</w:t>
      </w:r>
    </w:p>
    <w:p w14:paraId="1552D5D7"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Kumar K, Taylor RS, Jacques L, Eldabe S, Meglio M, Molet J, et al. Spinal cord stimulation versus conventional medical management for neuropathic pain: a multicentre randomised controlled trial in patients with failed back surgery syndrome. Pain. 2007;132(1-2):179-88.</w:t>
      </w:r>
    </w:p>
    <w:p w14:paraId="25E25D38"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Lo Bianco G, Al-Kaysi A, et al. Neuromodulation in chronic pain management: addressing persistent doubts in spinal cord stimulation. J Anesth Analg Crit Care. 2025;5(1):3.</w:t>
      </w:r>
    </w:p>
    <w:p w14:paraId="781EE516"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Sayed D, Grider J, Strand N, et al. The American Society of Pain and Neuroscience evidence-based clinical guideline of interventional treatments for low back pain. J Pain Res. 2022;15:3729-832.</w:t>
      </w:r>
    </w:p>
    <w:p w14:paraId="54478297"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Kallewaard JW. European randomized controlled trial evaluating differential target multiplexed spinal cord stimulation and conventional medical management in subjects with persistent back pain ineligible for spine surgery: 24-month results. Eur J Pain. 2024.</w:t>
      </w:r>
    </w:p>
    <w:p w14:paraId="5669AF99"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Eldabe S. Network meta-analysis and economic evaluation of neurostimulation interventions for chronic non-surgical refractory back pain. Clin J Pain. 2024.</w:t>
      </w:r>
    </w:p>
    <w:p w14:paraId="2F826B22" w14:textId="77777777" w:rsidR="00F77032" w:rsidRPr="00F77032" w:rsidRDefault="00F77032" w:rsidP="00F77032">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Sharan A, Riley J, Hoelscher C. An overview of chronic spinal pain. Spine. 2017;14S:35-40.</w:t>
      </w:r>
    </w:p>
    <w:p w14:paraId="01D9854B"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11. Metadados</w:t>
      </w:r>
    </w:p>
    <w:p w14:paraId="10DB3CE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Título SEO:</w:t>
      </w:r>
      <w:r w:rsidRPr="00F77032">
        <w:rPr>
          <w:rFonts w:ascii="Times New Roman" w:eastAsia="Times New Roman" w:hAnsi="Times New Roman" w:cs="Times New Roman"/>
          <w:color w:val="000000"/>
          <w:kern w:val="0"/>
          <w14:ligatures w14:val="none"/>
        </w:rPr>
        <w:t> Dor aguda e crônica na coluna vertebral</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Meta descrição:</w:t>
      </w:r>
      <w:r w:rsidRPr="00F77032">
        <w:rPr>
          <w:rFonts w:ascii="Times New Roman" w:eastAsia="Times New Roman" w:hAnsi="Times New Roman" w:cs="Times New Roman"/>
          <w:color w:val="000000"/>
          <w:kern w:val="0"/>
          <w14:ligatures w14:val="none"/>
        </w:rPr>
        <w:t> Abordagem clínica da dor aguda e crônica na coluna, incluindo mecanismos, sinais de alerta, avaliação funcional e princípios de tratamento.</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Resumo de chamada:</w:t>
      </w:r>
      <w:r w:rsidRPr="00F77032">
        <w:rPr>
          <w:rFonts w:ascii="Times New Roman" w:eastAsia="Times New Roman" w:hAnsi="Times New Roman" w:cs="Times New Roman"/>
          <w:color w:val="000000"/>
          <w:kern w:val="0"/>
          <w14:ligatures w14:val="none"/>
        </w:rPr>
        <w:t> Como diferenciar mecanismos de dor, reconhecer sinais de alerta e construir um tratamento multimodal orientado à funcionalidade e à qualidade de vida.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Slug:</w:t>
      </w:r>
      <w:r w:rsidRPr="00F77032">
        <w:rPr>
          <w:rFonts w:ascii="Times New Roman" w:eastAsia="Times New Roman" w:hAnsi="Times New Roman" w:cs="Times New Roman"/>
          <w:color w:val="000000"/>
          <w:kern w:val="0"/>
          <w14:ligatures w14:val="none"/>
        </w:rPr>
        <w:t> </w:t>
      </w:r>
      <w:r w:rsidRPr="00F77032">
        <w:rPr>
          <w:rFonts w:ascii="Courier New" w:eastAsia="Times New Roman" w:hAnsi="Courier New" w:cs="Courier New"/>
          <w:color w:val="000000"/>
          <w:kern w:val="0"/>
          <w:sz w:val="20"/>
          <w:szCs w:val="20"/>
          <w14:ligatures w14:val="none"/>
        </w:rPr>
        <w:t>manejo-dor-aguda-cronica-coluna</w:t>
      </w:r>
    </w:p>
    <w:p w14:paraId="45BD3028" w14:textId="77777777" w:rsidR="00F77032" w:rsidRPr="00F77032" w:rsidRDefault="009C0497" w:rsidP="00F77032">
      <w:pPr>
        <w:spacing w:after="0" w:line="240" w:lineRule="auto"/>
        <w:rPr>
          <w:rFonts w:ascii="Times New Roman" w:eastAsia="Times New Roman" w:hAnsi="Times New Roman" w:cs="Times New Roman"/>
          <w:kern w:val="0"/>
          <w14:ligatures w14:val="none"/>
        </w:rPr>
      </w:pPr>
      <w:r w:rsidRPr="009C0497">
        <w:rPr>
          <w:rFonts w:ascii="Times New Roman" w:eastAsia="Times New Roman" w:hAnsi="Times New Roman" w:cs="Times New Roman"/>
          <w:noProof/>
          <w:kern w:val="0"/>
        </w:rPr>
        <w:pict w14:anchorId="3CF48537">
          <v:rect id="_x0000_i1032" style="width:0;height:1.5pt" o:hralign="center" o:hrstd="t" o:hr="t" fillcolor="#a0a0a0" stroked="f"/>
        </w:pict>
      </w:r>
    </w:p>
    <w:p w14:paraId="05ED5A22" w14:textId="77777777" w:rsidR="00F77032" w:rsidRPr="00F77032" w:rsidRDefault="00F77032" w:rsidP="00F7703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77032">
        <w:rPr>
          <w:rFonts w:ascii="Times New Roman" w:eastAsia="Times New Roman" w:hAnsi="Times New Roman" w:cs="Times New Roman"/>
          <w:b/>
          <w:bCs/>
          <w:color w:val="000000"/>
          <w:kern w:val="36"/>
          <w:sz w:val="48"/>
          <w:szCs w:val="48"/>
          <w14:ligatures w14:val="none"/>
        </w:rPr>
        <w:t>CAPÍTULO 103 — ABORDAGENS PARA O TRATAMENTO DA DOR PÓS-OPERATÓRIA EM CIRURGIA DE COLUNA</w:t>
      </w:r>
    </w:p>
    <w:p w14:paraId="7DA77788"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 Identificação</w:t>
      </w:r>
    </w:p>
    <w:p w14:paraId="1CA18A8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Número:</w:t>
      </w:r>
      <w:r w:rsidRPr="00F77032">
        <w:rPr>
          <w:rFonts w:ascii="Times New Roman" w:eastAsia="Times New Roman" w:hAnsi="Times New Roman" w:cs="Times New Roman"/>
          <w:color w:val="000000"/>
          <w:kern w:val="0"/>
          <w14:ligatures w14:val="none"/>
        </w:rPr>
        <w:t> 103</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Título:</w:t>
      </w:r>
      <w:r w:rsidRPr="00F77032">
        <w:rPr>
          <w:rFonts w:ascii="Times New Roman" w:eastAsia="Times New Roman" w:hAnsi="Times New Roman" w:cs="Times New Roman"/>
          <w:color w:val="000000"/>
          <w:kern w:val="0"/>
          <w14:ligatures w14:val="none"/>
        </w:rPr>
        <w:t> Abordagens para o Tratamento da Dor Pós-Operatória em Cirurgia de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Seção:</w:t>
      </w:r>
      <w:r w:rsidRPr="00F77032">
        <w:rPr>
          <w:rFonts w:ascii="Times New Roman" w:eastAsia="Times New Roman" w:hAnsi="Times New Roman" w:cs="Times New Roman"/>
          <w:color w:val="000000"/>
          <w:kern w:val="0"/>
          <w14:ligatures w14:val="none"/>
        </w:rPr>
        <w:t> Seção 10 — Temas Complementares</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Autores:</w:t>
      </w:r>
      <w:r w:rsidRPr="00F77032">
        <w:rPr>
          <w:rFonts w:ascii="Times New Roman" w:eastAsia="Times New Roman" w:hAnsi="Times New Roman" w:cs="Times New Roman"/>
          <w:color w:val="000000"/>
          <w:kern w:val="0"/>
          <w14:ligatures w14:val="none"/>
        </w:rPr>
        <w:t> João Abrão; Sérgio Mariano Zuazo</w:t>
      </w:r>
    </w:p>
    <w:p w14:paraId="7C4D1D82"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2. Contexto</w:t>
      </w:r>
    </w:p>
    <w:p w14:paraId="3571FFB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 xml:space="preserve">A dor pós-operatória permanece um componente relevante da recuperação após cirurgia da coluna e pode dificultar mobilização, prolongar internação e contribuir para persistência de sintomas. A resposta dolorosa não é uniforme: trauma muscular e ósseo, inflamação, manipulação neural e características prévias do paciente produzem componentes nociceptivos, neuropáticos e inflamatórios que frequentemente coexistem. O capítulo apresenta uma mudança de paradigma, do controle centrado predominantemente em opioides para uma estratégia multimodal e integrada ao cuidado perioperatório. Avaliação pré-operatória, otimização de comorbidades, definição do porte do procedimento, técnicas regionais, analgesia preventiva e </w:t>
      </w:r>
      <w:r w:rsidRPr="00F77032">
        <w:rPr>
          <w:rFonts w:ascii="Times New Roman" w:eastAsia="Times New Roman" w:hAnsi="Times New Roman" w:cs="Times New Roman"/>
          <w:color w:val="000000"/>
          <w:kern w:val="0"/>
          <w14:ligatures w14:val="none"/>
        </w:rPr>
        <w:lastRenderedPageBreak/>
        <w:t>protocolos de recuperação acelerada passam a constituir partes do mesmo processo. Outro desafio é reconhecer o paciente com maior risco de persistência da dor e evitar expectativas irreais, particularmente a ideia de que um pós-operatório satisfatório necessariamente corresponde à completa ausência de desconforto.</w:t>
      </w:r>
    </w:p>
    <w:p w14:paraId="716BA9C7"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3. Objetivo</w:t>
      </w:r>
    </w:p>
    <w:p w14:paraId="4A5D2E2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Compreender os mecanismos da dor pós-operatória, identificar fatores associados a maior intensidade ou cronificação e organizar estratégias multimodais adaptadas ao porte da cirurgia e às características do paciente. O capítulo também integra analgesia aos protocolos de recuperação acelerada e discute monitoramento, comunicação, decisão compartilhada e perspectivas de personalização terapêutica.</w:t>
      </w:r>
    </w:p>
    <w:p w14:paraId="73BF84F9"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4. Conteúdo principal</w:t>
      </w:r>
    </w:p>
    <w:p w14:paraId="155D2E42"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Dor pós-operatória é heterogênea</w:t>
      </w:r>
    </w:p>
    <w:p w14:paraId="32C45FB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trauma cirúrgico ativa diferentes mecanismos. A dor nociceptiva relaciona-se ao dano tecidual; a neuropática pode resultar de manipulação ou disfunção neural; a inflamatória acompanha a resposta local ao trauma; e apresentações mistas são frequentes. Identificar esses componentes orienta a seleção de intervenções mais específicas.</w:t>
      </w:r>
    </w:p>
    <w:p w14:paraId="32998D42"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O tratamento começa antes da cirurgia</w:t>
      </w:r>
    </w:p>
    <w:p w14:paraId="47CCEE4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avaliação pré-anestésica é apresentada como parte do manejo da dor. Anemia, alterações glicêmicas, função renal, risco hemorrágico, uso prévio de opioides, fragilidade, distúrbios respiratórios e outros fatores modificam segurança e resposta analgésica.</w:t>
      </w:r>
    </w:p>
    <w:p w14:paraId="1BDDD05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Conceitos como Enhanced Recovery After Surgery (ERAS) e Perioperative Surgical Home (PSH) colocam pré-habilitação, planejamento, mobilização e analgesia dentro de um percurso assistencial contínuo.</w:t>
      </w:r>
    </w:p>
    <w:p w14:paraId="278E7C70"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Porte cirúrgico e estratégia analgésica</w:t>
      </w:r>
    </w:p>
    <w:p w14:paraId="20489E9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capítulo diferencia procedimentos menores, intermediários e de grande porte. Técnicas com paciente acordado ou sob anestesia regional podem ser consideradas em contextos específicos; cirurgias mais extensas exigem estratégias combinadas e integração com necessidades de monitorização neurofisiológica.</w:t>
      </w:r>
    </w:p>
    <w:p w14:paraId="1CF7FE4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Bloqueios regionais e interfasciais, técnicas neuroaxiais e analgesia sistêmica são selecionados conforme anatomia, extensão do procedimento e perfil do paciente.</w:t>
      </w:r>
    </w:p>
    <w:p w14:paraId="70E22528"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Multimodalidade</w:t>
      </w:r>
    </w:p>
    <w:p w14:paraId="2EB8610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A Tabela 103.1 resume diferentes classes e técnicas de analgesia preventiva. O princípio é combinar mecanismos em vez de simplesmente aumentar a dose de um único agente. Anti-inflamatórios, analgésicos não opioides, neuromoduladores, antagonistas de mecanismos de sensibilização, anestésicos locais e bloqueios podem compor esquemas individualizados.</w:t>
      </w:r>
    </w:p>
    <w:p w14:paraId="726FEA6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Opioides permanecem úteis, mas deixam de ser o único eixo da analgesia.</w:t>
      </w:r>
    </w:p>
    <w:p w14:paraId="4A7FE0C9"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Persistência da dor e novas tecnologias</w:t>
      </w:r>
    </w:p>
    <w:p w14:paraId="26DF4C6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crônica após cirurgia não deve ser automaticamente atribuída a falha técnica. Sensibilização central, fatores emocionais e estilo de vida também integram o raciocínio.</w:t>
      </w:r>
    </w:p>
    <w:p w14:paraId="5F83970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Farmacogenômica, inteligência artificial, realidade virtual e neuromodulação são apresentadas como áreas em desenvolvimento, que devem ser incorporadas criticamente e não como substitutos de boa seleção e cuidado multimodal.</w:t>
      </w:r>
    </w:p>
    <w:p w14:paraId="564713C2"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5. Aplicação clínica</w:t>
      </w:r>
    </w:p>
    <w:p w14:paraId="7FCDD63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estratégia analgésica deve ser definida antes do procedimento e revista ao longo da internação. O plano adequado para uma cirurgia endoscópica não é necessariamente apropriado para uma correção de deformidade extensa, e o esquema que controla a dor imediatamente após o procedimento pode tornar-se excessivo ou insuficiente após a mobilização.</w:t>
      </w:r>
    </w:p>
    <w:p w14:paraId="16A0B70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capítulo reforça a necessidade de objetivos compartilhados entre anestesiologista, cirurgião, fisioterapia e enfermagem. Mobilização, controle de efeitos adversos e transição entre diferentes modalidades de analgesia precisam ser coordenados.</w:t>
      </w:r>
    </w:p>
    <w:p w14:paraId="2E9B664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Outra aplicação importante é alinhar expectativas. O objetivo não é prometer ausência absoluta de dor, mas proporcionar controle compatível com recuperação funcional e segurança. Essa conversa deve ocorrer antes da cirurgia.</w:t>
      </w:r>
    </w:p>
    <w:p w14:paraId="1AAFBBF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Nos pacientes com dor persistente, o diagnóstico precisa ser revisto antes de simplesmente intensificar a analgesia. Persistência de um componente neuropático, sensibilização central e fatores psicossociais requerem estratégias distintas da dor nociceptiva aguda esperada do trauma operatório.</w:t>
      </w:r>
    </w:p>
    <w:p w14:paraId="62CAA41B"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6. Mensagem central</w:t>
      </w:r>
    </w:p>
    <w:p w14:paraId="1306948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tratamento contemporâneo da dor após cirurgia da coluna é perioperatório, multimodal e individualizado. Ele começa na avaliação pré-operatória, adapta-se ao porte da cirurgia, procura reduzir dependência de opioides e continua durante a recuperação funcional. Controle adequado da dor depende tanto da escolha de fármacos e bloqueios quanto da comunicação entre equipe e paciente.</w:t>
      </w:r>
    </w:p>
    <w:p w14:paraId="7E7D988C"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7. Por que este capítulo importa</w:t>
      </w:r>
    </w:p>
    <w:p w14:paraId="33521CF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Dor mal controlada interfere na mobilização, no sono, na recuperação e na experiência do paciente; tratamento excessivamente centrado em opioides também traz riscos. O capítulo oferece uma terceira via: combinar mecanismos analgésicos, antecipar fatores de risco e adaptar o tratamento ao procedimento e ao paciente. Essa abordagem conecta analgesia à recuperação global, evitando que o controle da dor seja tratado como uma etapa isolada da cirurgia.</w:t>
      </w:r>
    </w:p>
    <w:p w14:paraId="702DC4A2"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1929"/>
      </w:tblGrid>
      <w:tr w:rsidR="00F77032" w:rsidRPr="00F77032" w14:paraId="5FA340E8" w14:textId="77777777">
        <w:trPr>
          <w:tblHeader/>
          <w:tblCellSpacing w:w="15" w:type="dxa"/>
        </w:trPr>
        <w:tc>
          <w:tcPr>
            <w:tcW w:w="0" w:type="auto"/>
            <w:vAlign w:val="center"/>
            <w:hideMark/>
          </w:tcPr>
          <w:p w14:paraId="26DD6EB1" w14:textId="77777777" w:rsidR="00F77032" w:rsidRPr="00F77032" w:rsidRDefault="00F77032" w:rsidP="00F77032">
            <w:pPr>
              <w:spacing w:after="0" w:line="240" w:lineRule="auto"/>
              <w:jc w:val="center"/>
              <w:rPr>
                <w:rFonts w:ascii="Times New Roman" w:eastAsia="Times New Roman" w:hAnsi="Times New Roman" w:cs="Times New Roman"/>
                <w:b/>
                <w:bCs/>
                <w:color w:val="000000"/>
                <w:kern w:val="0"/>
                <w14:ligatures w14:val="none"/>
              </w:rPr>
            </w:pPr>
            <w:r w:rsidRPr="00F77032">
              <w:rPr>
                <w:rFonts w:ascii="Times New Roman" w:eastAsia="Times New Roman" w:hAnsi="Times New Roman" w:cs="Times New Roman"/>
                <w:b/>
                <w:bCs/>
                <w:color w:val="000000"/>
                <w:kern w:val="0"/>
                <w14:ligatures w14:val="none"/>
              </w:rPr>
              <w:t>DeCS</w:t>
            </w:r>
          </w:p>
        </w:tc>
        <w:tc>
          <w:tcPr>
            <w:tcW w:w="0" w:type="auto"/>
            <w:vAlign w:val="center"/>
            <w:hideMark/>
          </w:tcPr>
          <w:p w14:paraId="17EC4F19" w14:textId="77777777" w:rsidR="00F77032" w:rsidRPr="00F77032" w:rsidRDefault="00F77032" w:rsidP="00F77032">
            <w:pPr>
              <w:spacing w:after="0" w:line="240" w:lineRule="auto"/>
              <w:jc w:val="center"/>
              <w:rPr>
                <w:rFonts w:ascii="Times New Roman" w:eastAsia="Times New Roman" w:hAnsi="Times New Roman" w:cs="Times New Roman"/>
                <w:b/>
                <w:bCs/>
                <w:color w:val="000000"/>
                <w:kern w:val="0"/>
                <w14:ligatures w14:val="none"/>
              </w:rPr>
            </w:pPr>
            <w:r w:rsidRPr="00F77032">
              <w:rPr>
                <w:rFonts w:ascii="Times New Roman" w:eastAsia="Times New Roman" w:hAnsi="Times New Roman" w:cs="Times New Roman"/>
                <w:b/>
                <w:bCs/>
                <w:color w:val="000000"/>
                <w:kern w:val="0"/>
                <w14:ligatures w14:val="none"/>
              </w:rPr>
              <w:t>MeSH</w:t>
            </w:r>
          </w:p>
        </w:tc>
      </w:tr>
      <w:tr w:rsidR="00F77032" w:rsidRPr="00F77032" w14:paraId="06600968" w14:textId="77777777">
        <w:trPr>
          <w:tblCellSpacing w:w="15" w:type="dxa"/>
        </w:trPr>
        <w:tc>
          <w:tcPr>
            <w:tcW w:w="0" w:type="auto"/>
            <w:vAlign w:val="center"/>
            <w:hideMark/>
          </w:tcPr>
          <w:p w14:paraId="14FDE16C"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Pós-Operatória</w:t>
            </w:r>
          </w:p>
        </w:tc>
        <w:tc>
          <w:tcPr>
            <w:tcW w:w="0" w:type="auto"/>
            <w:vAlign w:val="center"/>
            <w:hideMark/>
          </w:tcPr>
          <w:p w14:paraId="6ABD973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Pain, Postoperative</w:t>
            </w:r>
          </w:p>
        </w:tc>
      </w:tr>
      <w:tr w:rsidR="00F77032" w:rsidRPr="00F77032" w14:paraId="0526DB97" w14:textId="77777777">
        <w:trPr>
          <w:tblCellSpacing w:w="15" w:type="dxa"/>
        </w:trPr>
        <w:tc>
          <w:tcPr>
            <w:tcW w:w="0" w:type="auto"/>
            <w:vAlign w:val="center"/>
            <w:hideMark/>
          </w:tcPr>
          <w:p w14:paraId="2D559321"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Analgesia</w:t>
            </w:r>
          </w:p>
        </w:tc>
        <w:tc>
          <w:tcPr>
            <w:tcW w:w="0" w:type="auto"/>
            <w:vAlign w:val="center"/>
            <w:hideMark/>
          </w:tcPr>
          <w:p w14:paraId="46FA233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Analgesia</w:t>
            </w:r>
          </w:p>
        </w:tc>
      </w:tr>
      <w:tr w:rsidR="00F77032" w:rsidRPr="00F77032" w14:paraId="7EDC1D05" w14:textId="77777777">
        <w:trPr>
          <w:tblCellSpacing w:w="15" w:type="dxa"/>
        </w:trPr>
        <w:tc>
          <w:tcPr>
            <w:tcW w:w="0" w:type="auto"/>
            <w:vAlign w:val="center"/>
            <w:hideMark/>
          </w:tcPr>
          <w:p w14:paraId="3EC2F012"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Cuidados Perioperatórios</w:t>
            </w:r>
          </w:p>
        </w:tc>
        <w:tc>
          <w:tcPr>
            <w:tcW w:w="0" w:type="auto"/>
            <w:vAlign w:val="center"/>
            <w:hideMark/>
          </w:tcPr>
          <w:p w14:paraId="5780AF90"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Perioperative Care</w:t>
            </w:r>
          </w:p>
        </w:tc>
      </w:tr>
      <w:tr w:rsidR="00F77032" w:rsidRPr="00F77032" w14:paraId="436944CB" w14:textId="77777777">
        <w:trPr>
          <w:tblCellSpacing w:w="15" w:type="dxa"/>
        </w:trPr>
        <w:tc>
          <w:tcPr>
            <w:tcW w:w="0" w:type="auto"/>
            <w:vAlign w:val="center"/>
            <w:hideMark/>
          </w:tcPr>
          <w:p w14:paraId="5D5256BB"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Analgésicos Opioides</w:t>
            </w:r>
          </w:p>
        </w:tc>
        <w:tc>
          <w:tcPr>
            <w:tcW w:w="0" w:type="auto"/>
            <w:vAlign w:val="center"/>
            <w:hideMark/>
          </w:tcPr>
          <w:p w14:paraId="3AD61ED2"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Analgesics, Opioid</w:t>
            </w:r>
          </w:p>
        </w:tc>
      </w:tr>
      <w:tr w:rsidR="00F77032" w:rsidRPr="00F77032" w14:paraId="57A90E83" w14:textId="77777777">
        <w:trPr>
          <w:tblCellSpacing w:w="15" w:type="dxa"/>
        </w:trPr>
        <w:tc>
          <w:tcPr>
            <w:tcW w:w="0" w:type="auto"/>
            <w:vAlign w:val="center"/>
            <w:hideMark/>
          </w:tcPr>
          <w:p w14:paraId="3880E5C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Bloqueio Nervoso</w:t>
            </w:r>
          </w:p>
        </w:tc>
        <w:tc>
          <w:tcPr>
            <w:tcW w:w="0" w:type="auto"/>
            <w:vAlign w:val="center"/>
            <w:hideMark/>
          </w:tcPr>
          <w:p w14:paraId="43FCE34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Nerve Block</w:t>
            </w:r>
          </w:p>
        </w:tc>
      </w:tr>
      <w:tr w:rsidR="00F77032" w:rsidRPr="00F77032" w14:paraId="748C2D92" w14:textId="77777777">
        <w:trPr>
          <w:tblCellSpacing w:w="15" w:type="dxa"/>
        </w:trPr>
        <w:tc>
          <w:tcPr>
            <w:tcW w:w="0" w:type="auto"/>
            <w:vAlign w:val="center"/>
            <w:hideMark/>
          </w:tcPr>
          <w:p w14:paraId="0B9E9601"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Crônica</w:t>
            </w:r>
          </w:p>
        </w:tc>
        <w:tc>
          <w:tcPr>
            <w:tcW w:w="0" w:type="auto"/>
            <w:vAlign w:val="center"/>
            <w:hideMark/>
          </w:tcPr>
          <w:p w14:paraId="5DED52B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Chronic Pain</w:t>
            </w:r>
          </w:p>
        </w:tc>
      </w:tr>
      <w:tr w:rsidR="00F77032" w:rsidRPr="00F77032" w14:paraId="191A3102" w14:textId="77777777">
        <w:trPr>
          <w:tblCellSpacing w:w="15" w:type="dxa"/>
        </w:trPr>
        <w:tc>
          <w:tcPr>
            <w:tcW w:w="0" w:type="auto"/>
            <w:vAlign w:val="center"/>
            <w:hideMark/>
          </w:tcPr>
          <w:p w14:paraId="40BD1F1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Anestésicos Locais</w:t>
            </w:r>
          </w:p>
        </w:tc>
        <w:tc>
          <w:tcPr>
            <w:tcW w:w="0" w:type="auto"/>
            <w:vAlign w:val="center"/>
            <w:hideMark/>
          </w:tcPr>
          <w:p w14:paraId="325F9D16"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Anesthetics, Local</w:t>
            </w:r>
          </w:p>
        </w:tc>
      </w:tr>
    </w:tbl>
    <w:p w14:paraId="1CD6CF4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Palavras-chave livres:</w:t>
      </w:r>
      <w:r w:rsidRPr="00F77032">
        <w:rPr>
          <w:rFonts w:ascii="Times New Roman" w:eastAsia="Times New Roman" w:hAnsi="Times New Roman" w:cs="Times New Roman"/>
          <w:color w:val="000000"/>
          <w:kern w:val="0"/>
          <w14:ligatures w14:val="none"/>
        </w:rPr>
        <w:t> ERAS; analgesia multimodal.</w:t>
      </w:r>
    </w:p>
    <w:p w14:paraId="77DB91F0"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9. Cards</w:t>
      </w:r>
    </w:p>
    <w:p w14:paraId="3D7AA3A4"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1 — A analgesia começa antes</w:t>
      </w:r>
    </w:p>
    <w:p w14:paraId="24E4A35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Comorbidades, uso prévio de analgésicos, risco metabólico e características da cirurgia interferem no controle pós-operatório. Planejar analgesia apenas depois que o paciente desperta perde a oportunidade de antecipar fatores que aumentam consumo de opioides, efeitos adversos e dificuldade de mobilização.</w:t>
      </w:r>
    </w:p>
    <w:p w14:paraId="725C305A"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2 — Combine mecanismos, não doses</w:t>
      </w:r>
    </w:p>
    <w:p w14:paraId="55B7D96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analgesia multimodal utiliza intervenções que atuam em diferentes vias da dor. A lógica não é simplesmente acrescentar medicamentos, mas obter complementaridade, reduzir exposição desnecessária a um único agente e adequar o esquema ao componente doloroso predominante.</w:t>
      </w:r>
    </w:p>
    <w:p w14:paraId="091CA6EE"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3 — Zero dor não é meta</w:t>
      </w:r>
    </w:p>
    <w:p w14:paraId="2B3CAFC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Prometer ausência completa de desconforto cria uma expectativa difícil de sustentar e pode prejudicar a confiança. O objetivo é obter dor suficientemente controlada para preservar segurança, mobilização, sono e recuperação funcional, com reavaliação frequente durante a evolução.</w:t>
      </w:r>
    </w:p>
    <w:p w14:paraId="522F814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10. Referências</w:t>
      </w:r>
    </w:p>
    <w:p w14:paraId="037ED4BD"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Chakravarthy V, Yokoi H, Manlapaz MR, Krishnaney AA. Enhanced recovery in spine surgery and perioperative pain management. Neurosurg Clin N Am. 2020;31(1):81-91.</w:t>
      </w:r>
    </w:p>
    <w:p w14:paraId="33B411A1"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Buvanendran A, Kroin JS. Multimodal analgesia for controlling acute postoperative pain. Curr Opin Anaesthesiol. 2009;22(5):588-93.</w:t>
      </w:r>
    </w:p>
    <w:p w14:paraId="1E152575"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Dietz N, Sharma M, Alhourani A, Ugiliweneza B, Wang D, Nuño M, et al. Enhanced recovery after surgery (ERAS) for spine surgery: a systematic review. World Neurosurg. 2019;615-69.</w:t>
      </w:r>
    </w:p>
    <w:p w14:paraId="2C4AB66C"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Whittle J, Wischmeyer PE, Grocott MPW, Miller TE. Surgical prehabilitation. Anesthesiol Clin. 2018;36(4):567-80.</w:t>
      </w:r>
    </w:p>
    <w:p w14:paraId="49451A8F"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Porter ME. What is value in health care? N Engl J Med. 2010;363(26):2477-81.</w:t>
      </w:r>
    </w:p>
    <w:p w14:paraId="7B18CB2B"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Blitz JD, Mabry C. Designing and running a preoperative clinic. Anesthesiol Clin. 2018;36(4):479-91.</w:t>
      </w:r>
    </w:p>
    <w:p w14:paraId="01372E0E"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Vetter TR. Perioperative surgical home models. Anesthesiol Clin. 2018;36(4):677-87.</w:t>
      </w:r>
    </w:p>
    <w:p w14:paraId="3CEE851C"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Cornett EM, Budish R, Latimer D, Hart B, Urman RD, Kaye AD. Management of challenging pharmacologic issues in chronic pain and substance abuse disorders. Anesthesiol Clin. 2018;36(4):615-26.</w:t>
      </w:r>
    </w:p>
    <w:p w14:paraId="25755B97"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Edwards AF, Forest DJ. Preoperative laboratory testing. Anesthesiol Clin. 2018;36(4):493-507.</w:t>
      </w:r>
    </w:p>
    <w:p w14:paraId="22477BAF"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Cole SP. Stratification and risk reduction of perioperative acute kidney injury: an update. Anesthesiol Clin. 2018;36(4):539-51.</w:t>
      </w:r>
    </w:p>
    <w:p w14:paraId="2B60BB85"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Committee on Standards and Practice Parameters, Apfelbaum JL, Connis RT, Nickinovich DG, et al. Practice advisory for preanesthesia evaluation: an updated report by the American Society of Anesthesiologists Task Force on Preanesthesia Evaluation. Anesthesiology. 2012;116(3):522-38.</w:t>
      </w:r>
    </w:p>
    <w:p w14:paraId="3906BA14"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Sreedharan R, Abdelmalak B. Diabetes mellitus: preoperative concerns and evaluation. Anesthesiol Clin. 2018;36(4):581-97.</w:t>
      </w:r>
    </w:p>
    <w:p w14:paraId="521D6629"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Frisch A, Chandra P, Smiley D, et al. Prevalence and clinical outcome of hyperglycemia in the perioperative period in noncardiac surgery. Diabetes Care. 2010;33(8):1783-8.</w:t>
      </w:r>
    </w:p>
    <w:p w14:paraId="4CE50504"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Abdelmalak BB, Knittel J, Abdelmalak JB, et al. Preoperative blood glucose concentrations and postoperative outcomes after elective non-cardiac surgery: an observational study. Br J Anaesth. 2014;112(1):79-88.</w:t>
      </w:r>
    </w:p>
    <w:p w14:paraId="08FE474B"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Echeverry G, Dalton A. Hematologic disorders. Anesthesiol Clin. 2018;36(4):553-65.</w:t>
      </w:r>
    </w:p>
    <w:p w14:paraId="1E01BDBF"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Burton BN, A'Court AM, Brovman EY, Scott MJ, Urman RD, Gabriel RA. Optimizing preoperative anemia to improve patient outcomes. Anesthesiol Clin. 2018;36(4):701-13.</w:t>
      </w:r>
    </w:p>
    <w:p w14:paraId="43D91663"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Jadczak CN, Vanjani NN, Pawlowski H, Cha EDK, Lynch CP, Prabhu MC, et al. The current status of awake endoscopic surgery: a systematic review and meta-analysis. World Neurosurg. 2023;180:e198-209.</w:t>
      </w:r>
    </w:p>
    <w:p w14:paraId="7A3CB12C"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Keskin S. Role of adjuvants in spinal anesthesia for lumbar surgery. Braz J Anesthesiol. 2022;72(4):449-55.</w:t>
      </w:r>
    </w:p>
    <w:p w14:paraId="0565E3B1"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Gi&amp;i M. Effectiveness of ESP block in spinal surgery: a meta-analysis. J Clin Anesth. 2023;85:111094.</w:t>
      </w:r>
    </w:p>
    <w:p w14:paraId="30DCB6C6"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Zhang Y. Ultrasound-guided regional blocks for spine surgery: review. Reg Anesth Pain Med. 2023;48(5):321-30.</w:t>
      </w:r>
    </w:p>
    <w:p w14:paraId="1E5C899F"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Soto G, Naranjo González M, Calero F. Intravenous lidocaine infusion. Rev Esp Anestesiol Reanim (Engl Ed). 2018;65(5):269-74.</w:t>
      </w:r>
    </w:p>
    <w:p w14:paraId="5F185B5F"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Smith DM, Figg W. Evidence regarding pharmacogenetics in pain management and cancer. Oncologist. 2023;28(3):189-92.</w:t>
      </w:r>
    </w:p>
    <w:p w14:paraId="447637B5"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Gabriel RA, Burton BN, Urman RD, Waterman RS. Genomics testing and personalized medicine in the preoperative setting. Anesthesiol Clin. 2018;36(4):639-52.</w:t>
      </w:r>
    </w:p>
    <w:p w14:paraId="0643FFB0"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Dalton A, Zafirova Z. Preoperative management of the geriatric patient: frailty and cognitive impairment assessment. Anesthesiol Clin. 2018;36(4):599-614.</w:t>
      </w:r>
    </w:p>
    <w:p w14:paraId="79B4A9BF"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Subramani Y, Nagappa M, Wong J, Mubashir T, Chung F. Preoperative evaluation: estimation of pulmonary risk including obstructive sleep apnea impact. Anesthesiol Clin. 2018;36(4):523-38.</w:t>
      </w:r>
    </w:p>
    <w:p w14:paraId="22E1080A"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Quinn TD, Wolczynski P, Sroka R, Urman RD. Creating a pathway for multidisciplinary shared decision-making to improve communication during preoperative assessment. Anesthesiol Clin. 2018;36(4):653-62.</w:t>
      </w:r>
    </w:p>
    <w:p w14:paraId="2DFE20A8"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Wong J. Artificial intelligence in anesthesia: a narrative review. Br J Anaesth. 2023;131(4):e1-e10.</w:t>
      </w:r>
    </w:p>
    <w:p w14:paraId="09378947"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Vadivelu N. New and emerging non-opioid analgesics for acute pain. Curr Opin Anaesthesiol. 2023;36(5):540-7.</w:t>
      </w:r>
    </w:p>
    <w:p w14:paraId="329A1DC5"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Spiegel B. Virtual reality for pain management: a systematic review. J Pain. 2022;23(1):1-15.</w:t>
      </w:r>
    </w:p>
    <w:p w14:paraId="5D74D226"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Falowski SM. The future of spinal cord stimulation: a narrative review. Pain Ther. 2022;11(1):1-15.</w:t>
      </w:r>
    </w:p>
    <w:p w14:paraId="65AEF5DC" w14:textId="77777777" w:rsidR="00F77032" w:rsidRPr="00F77032" w:rsidRDefault="00F77032" w:rsidP="00F77032">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Peng C, Li C, Qu J, Wu D. Gabapentin can decrease acute pain and morphine consumption in spinal surgery patients. Medicine (Baltimore). 2017;96(15):e6463.</w:t>
      </w:r>
    </w:p>
    <w:p w14:paraId="1935F96A"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11. Metadados</w:t>
      </w:r>
    </w:p>
    <w:p w14:paraId="46AE070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Título SEO:</w:t>
      </w:r>
      <w:r w:rsidRPr="00F77032">
        <w:rPr>
          <w:rFonts w:ascii="Times New Roman" w:eastAsia="Times New Roman" w:hAnsi="Times New Roman" w:cs="Times New Roman"/>
          <w:color w:val="000000"/>
          <w:kern w:val="0"/>
          <w14:ligatures w14:val="none"/>
        </w:rPr>
        <w:t> Dor pós-operatória em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Meta descrição:</w:t>
      </w:r>
      <w:r w:rsidRPr="00F77032">
        <w:rPr>
          <w:rFonts w:ascii="Times New Roman" w:eastAsia="Times New Roman" w:hAnsi="Times New Roman" w:cs="Times New Roman"/>
          <w:color w:val="000000"/>
          <w:kern w:val="0"/>
          <w14:ligatures w14:val="none"/>
        </w:rPr>
        <w:t> Estratégias multimodais para dor após cirurgia da coluna, integrando avaliação pré-operatória, analgesia preventiva e recuperação funcional.</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Resumo de chamada:</w:t>
      </w:r>
      <w:r w:rsidRPr="00F77032">
        <w:rPr>
          <w:rFonts w:ascii="Times New Roman" w:eastAsia="Times New Roman" w:hAnsi="Times New Roman" w:cs="Times New Roman"/>
          <w:color w:val="000000"/>
          <w:kern w:val="0"/>
          <w14:ligatures w14:val="none"/>
        </w:rPr>
        <w:t> Planejamento perioperatório e analgesia multimodal para controlar a dor, reduzir opioides e favorecer uma recuperação funcional mais segura após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Slug:</w:t>
      </w:r>
      <w:r w:rsidRPr="00F77032">
        <w:rPr>
          <w:rFonts w:ascii="Times New Roman" w:eastAsia="Times New Roman" w:hAnsi="Times New Roman" w:cs="Times New Roman"/>
          <w:color w:val="000000"/>
          <w:kern w:val="0"/>
          <w14:ligatures w14:val="none"/>
        </w:rPr>
        <w:t> </w:t>
      </w:r>
      <w:r w:rsidRPr="00F77032">
        <w:rPr>
          <w:rFonts w:ascii="Courier New" w:eastAsia="Times New Roman" w:hAnsi="Courier New" w:cs="Courier New"/>
          <w:color w:val="000000"/>
          <w:kern w:val="0"/>
          <w:sz w:val="20"/>
          <w:szCs w:val="20"/>
          <w14:ligatures w14:val="none"/>
        </w:rPr>
        <w:t>dor-pos-operatoria-cirurgia-coluna</w:t>
      </w:r>
    </w:p>
    <w:p w14:paraId="1D4FDE13" w14:textId="77777777" w:rsidR="00F77032" w:rsidRPr="00F77032" w:rsidRDefault="009C0497" w:rsidP="00F77032">
      <w:pPr>
        <w:spacing w:after="0" w:line="240" w:lineRule="auto"/>
        <w:rPr>
          <w:rFonts w:ascii="Times New Roman" w:eastAsia="Times New Roman" w:hAnsi="Times New Roman" w:cs="Times New Roman"/>
          <w:kern w:val="0"/>
          <w14:ligatures w14:val="none"/>
        </w:rPr>
      </w:pPr>
      <w:r w:rsidRPr="009C0497">
        <w:rPr>
          <w:rFonts w:ascii="Times New Roman" w:eastAsia="Times New Roman" w:hAnsi="Times New Roman" w:cs="Times New Roman"/>
          <w:noProof/>
          <w:kern w:val="0"/>
        </w:rPr>
        <w:pict w14:anchorId="40742FEC">
          <v:rect id="_x0000_i1031" style="width:0;height:1.5pt" o:hralign="center" o:hrstd="t" o:hr="t" fillcolor="#a0a0a0" stroked="f"/>
        </w:pict>
      </w:r>
    </w:p>
    <w:p w14:paraId="1C074C88" w14:textId="77777777" w:rsidR="00F77032" w:rsidRPr="00F77032" w:rsidRDefault="00F77032" w:rsidP="00F7703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77032">
        <w:rPr>
          <w:rFonts w:ascii="Times New Roman" w:eastAsia="Times New Roman" w:hAnsi="Times New Roman" w:cs="Times New Roman"/>
          <w:b/>
          <w:bCs/>
          <w:color w:val="000000"/>
          <w:kern w:val="36"/>
          <w:sz w:val="48"/>
          <w:szCs w:val="48"/>
          <w14:ligatures w14:val="none"/>
        </w:rPr>
        <w:t>CAPÍTULO 104 — ANESTESIA PARA CIRURGIA DA COLUNA VERTEBRAL</w:t>
      </w:r>
    </w:p>
    <w:p w14:paraId="5F0FB7C6"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 Identificação</w:t>
      </w:r>
    </w:p>
    <w:p w14:paraId="790A13D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Número:</w:t>
      </w:r>
      <w:r w:rsidRPr="00F77032">
        <w:rPr>
          <w:rFonts w:ascii="Times New Roman" w:eastAsia="Times New Roman" w:hAnsi="Times New Roman" w:cs="Times New Roman"/>
          <w:color w:val="000000"/>
          <w:kern w:val="0"/>
          <w14:ligatures w14:val="none"/>
        </w:rPr>
        <w:t> 104</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Título:</w:t>
      </w:r>
      <w:r w:rsidRPr="00F77032">
        <w:rPr>
          <w:rFonts w:ascii="Times New Roman" w:eastAsia="Times New Roman" w:hAnsi="Times New Roman" w:cs="Times New Roman"/>
          <w:color w:val="000000"/>
          <w:kern w:val="0"/>
          <w14:ligatures w14:val="none"/>
        </w:rPr>
        <w:t> Anestesia para Cirurgia da Coluna Vertebral</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Seção:</w:t>
      </w:r>
      <w:r w:rsidRPr="00F77032">
        <w:rPr>
          <w:rFonts w:ascii="Times New Roman" w:eastAsia="Times New Roman" w:hAnsi="Times New Roman" w:cs="Times New Roman"/>
          <w:color w:val="000000"/>
          <w:kern w:val="0"/>
          <w14:ligatures w14:val="none"/>
        </w:rPr>
        <w:t> Seção 10 — Temas Complementares</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Autor:</w:t>
      </w:r>
      <w:r w:rsidRPr="00F77032">
        <w:rPr>
          <w:rFonts w:ascii="Times New Roman" w:eastAsia="Times New Roman" w:hAnsi="Times New Roman" w:cs="Times New Roman"/>
          <w:color w:val="000000"/>
          <w:kern w:val="0"/>
          <w14:ligatures w14:val="none"/>
        </w:rPr>
        <w:t> Mauricio Luiz Malito</w:t>
      </w:r>
    </w:p>
    <w:p w14:paraId="12A9564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lastRenderedPageBreak/>
        <w:t>2. Contexto</w:t>
      </w:r>
    </w:p>
    <w:p w14:paraId="055F12B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anestesia para cirurgia da coluna precisa acompanhar uma ampla variedade de procedimentos, desde intervenções lombares de menor porte até reconstruções complexas associadas a posicionamento prolongado, grande perda sanguínea e necessidade de monitorização neurofisiológica. O risco não depende apenas da operação, mas também de comorbidades cardiovasculares, respiratórias e metabólicas, obesidade, síndrome da apneia obstrutiva do sono e características individuais do paciente. A posição cirúrgica acrescenta desafios hemodinâmicos, ventilatórios, neurológicos e relacionados à proteção de tecidos e olhos. Por isso, o planejamento anestésico começa na avaliação pré-operatória e integra escolha entre anestesia geral, regional ou combinada, posicionamento, monitorização, manejo de fluidos, prevenção do sangramento e analgesia multimodal. O capítulo enfatiza que essas decisões precisam acompanhar simultaneamente as necessidades do paciente e os objetivos técnicos da cirurgia.</w:t>
      </w:r>
    </w:p>
    <w:p w14:paraId="2B5EEB07"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3. Objetivo</w:t>
      </w:r>
    </w:p>
    <w:p w14:paraId="736B238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Apresentar os elementos essenciais da avaliação pré-anestésica, da seleção da técnica anestésica, do posicionamento e da monitorização durante cirurgia da coluna. O leitor deverá compreender como o porte do procedimento, o perfil de risco, a perda sanguínea prevista, a necessidade de monitorização neurológica e a recuperação pós-operatória interferem na estratégia anestésica.</w:t>
      </w:r>
    </w:p>
    <w:p w14:paraId="703E4CBA"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4. Conteúdo principal</w:t>
      </w:r>
    </w:p>
    <w:p w14:paraId="21126A3E"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Avaliação pré-operatória</w:t>
      </w:r>
    </w:p>
    <w:p w14:paraId="5A828AF0"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Comorbidades cardiopulmonares, alterações metabólicas e neurológicas, obesidade, síndrome da apneia obstrutiva do sono (SAOS), medicamentos em uso e risco anestésico precisam ser identificados antes da cirurgia. Exames complementares são orientados pela história, pelo exame e pela complexidade do procedimento, evitando tanto investigação insuficiente quanto solicitações indiscriminadas.</w:t>
      </w:r>
    </w:p>
    <w:p w14:paraId="5D18FEC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Os exames de imagem da coluna também auxiliam a equipe anestésica quando anatomia, compressão neural ou a própria possibilidade de técnicas regionais precisam ser consideradas.</w:t>
      </w:r>
    </w:p>
    <w:p w14:paraId="22F370EA"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Escolha da técnica anestésica</w:t>
      </w:r>
    </w:p>
    <w:p w14:paraId="703F793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Tabela 104.1 compara anestesia geral, regional e combinada. A anestesia geral oferece maior controle em procedimentos extensos; técnicas regionais podem ser alternativas em determinadas cirurgias lombares; e estratégias combinadas procuram associar controle anestésico e analgesia prolongada.</w:t>
      </w:r>
    </w:p>
    <w:p w14:paraId="4E19A29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escolha depende de duração, localização, posição, comorbidades, risco hemorrágico e necessidade de avaliação neurológica.</w:t>
      </w:r>
    </w:p>
    <w:p w14:paraId="487E9D6B"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lastRenderedPageBreak/>
        <w:t>Posicionamento e segurança</w:t>
      </w:r>
    </w:p>
    <w:p w14:paraId="3C69FEA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Posição prona, lateral, supina ou variações específicas modificam ventilação, retorno venoso e distribuição de pressão. Compressão ocular, elevação da pressão intra-abdominal e posicionamento inadequado de extremidades podem gerar complicações graves.</w:t>
      </w:r>
    </w:p>
    <w:p w14:paraId="495BB61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prevenção da perda visual perioperatória recebe atenção especial, assim como proteção de pontos de pressão e posicionamento que preserve retorno venoso e reduza sangramento.</w:t>
      </w:r>
    </w:p>
    <w:p w14:paraId="5E64A31C"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Monitorização e hemodinâmica</w:t>
      </w:r>
    </w:p>
    <w:p w14:paraId="55D2497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Pressão arterial média (PAM), débito cardíaco (DC), frequência cardíaca, saturação de oxigênio, variação da pressão sistólica e dióxido de carbono expirado fazem parte da interpretação hemodinâmica conforme a complexidade do procedimento.</w:t>
      </w:r>
    </w:p>
    <w:p w14:paraId="7F58D0A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terapia guiada por metas procura adaptar fluidos, vasopressores e transfusões à resposta fisiológica, evitando tanto hipoperfusão quanto sobrecarga.</w:t>
      </w:r>
    </w:p>
    <w:p w14:paraId="0D48F3D4"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Sangramento e analgesia</w:t>
      </w:r>
    </w:p>
    <w:p w14:paraId="42BED42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Procedimentos maiores requerem planejamento específico de perda sanguínea, antifibrinolíticos e transfusão. A analgesia multimodal associa diferentes mecanismos e pode incluir técnicas regionais, mas bloqueios neuroaxiais precisam ser ponderados quando possam interferir na avaliação neurológica pós-operatória.</w:t>
      </w:r>
    </w:p>
    <w:p w14:paraId="2DDE72C1"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5. Aplicação clínica</w:t>
      </w:r>
    </w:p>
    <w:p w14:paraId="49E516A0"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plano anestésico deve ser construído conjuntamente com o planejamento cirúrgico. Uma cirurgia de curta duração e baixo risco hemorrágico pode permitir alternativas diferentes das exigidas por reconstruções multissegmentares ou correções de deformidades.</w:t>
      </w:r>
    </w:p>
    <w:p w14:paraId="74A1E10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posição prona merece atenção particular. Apoios inadequados podem aumentar pressão abdominal, alterar hemodinâmica, favorecer sangramento venoso e expor olhos e nervos periféricos a compressão. A Figura 104.3 organiza visualmente áreas vulneráveis ao posicionamento.</w:t>
      </w:r>
    </w:p>
    <w:p w14:paraId="0142886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Em procedimentos complexos, monitorização hemodinâmica mais avançada pode permitir intervenções orientadas pela fisiologia em vez da administração empírica de fluidos e transfusões. A Tabela 104.2 relaciona a complexidade da cirurgia com a magnitude esperada de desafios perioperatórios.</w:t>
      </w:r>
    </w:p>
    <w:p w14:paraId="7077E6E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escolha da analgesia também deve considerar a necessidade de exame neurológico. Uma técnica excelente para controle da dor pode ser inadequada se comprometer temporariamente uma avaliação neurológica essencial naquele contexto.</w:t>
      </w:r>
    </w:p>
    <w:p w14:paraId="42E2260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lastRenderedPageBreak/>
        <w:t>6. Mensagem central</w:t>
      </w:r>
    </w:p>
    <w:p w14:paraId="78DAA8F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anestesia na cirurgia da coluna é parte integrante da estratégia cirúrgica. Segurança depende de avaliação pré-operatória direcionada, escolha individualizada da técnica, posicionamento rigoroso, preservação da perfusão, manejo racional de fluidos e sangue e analgesia compatível com a necessidade de avaliação neurológica. Quanto maior a complexidade do procedimento, maior a necessidade de integração entre cirurgião e anestesiologista.</w:t>
      </w:r>
    </w:p>
    <w:p w14:paraId="77903F27"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7. Por que este capítulo importa</w:t>
      </w:r>
    </w:p>
    <w:p w14:paraId="73D3A2F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Diversas complicações atribuídas à “cirurgia” podem surgir da interação entre anestesia, posicionamento e fisiologia: hipoperfusão, sangramento, lesões por compressão e alterações respiratórias são exemplos. Antecipar esses riscos é particularmente importante em operações longas e complexas. O capítulo oferece ao cirurgião uma visão do raciocínio anestésico e demonstra por que decisões como posição, estratégia hemodinâmica e analgesia precisam ser compartilhadas entre as equipes.</w:t>
      </w:r>
    </w:p>
    <w:p w14:paraId="191EE76C"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8. Descritores</w:t>
      </w:r>
    </w:p>
    <w:p w14:paraId="51A0D50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DeCS — MeSH:</w:t>
      </w:r>
      <w:r w:rsidRPr="00F77032">
        <w:rPr>
          <w:rFonts w:ascii="Times New Roman" w:eastAsia="Times New Roman" w:hAnsi="Times New Roman" w:cs="Times New Roman"/>
          <w:color w:val="000000"/>
          <w:kern w:val="0"/>
          <w14:ligatures w14:val="none"/>
        </w:rPr>
        <w:t> Anestesia — Anesthesia; Anestesia Geral — Anesthesia, General; Anestesia por Condução — Anesthesia, Conduction; Cuidados Perioperatórios — Perioperative Care; Posicionamento do Paciente — Patient Positioning; Monitorização Fisiológica — Monitoring, Physiologic; Hemodinâmica — Hemodynamics.</w:t>
      </w:r>
    </w:p>
    <w:p w14:paraId="221A441E"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9. Cards</w:t>
      </w:r>
    </w:p>
    <w:p w14:paraId="64B3F80E"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1 — Anestesia começa na avaliação</w:t>
      </w:r>
    </w:p>
    <w:p w14:paraId="6740240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Identificar comorbidades respiratórias, cardiovasculares e metabólicas antes da cirurgia permite antecipar problemas de ventilação, hemodinâmica e recuperação. A avaliação pré-operatória deve ser direcionada pelo risco real e pelo procedimento, e não por uma bateria inespecífica de exames.</w:t>
      </w:r>
    </w:p>
    <w:p w14:paraId="22B2EC73"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2 — Técnica depende do procedimento</w:t>
      </w:r>
    </w:p>
    <w:p w14:paraId="4525AB5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Não existe uma técnica anestésica universal para cirurgia da coluna. Anestesia geral, regional ou combinada apresentam benefícios e limitações diferentes, e a escolha precisa considerar porte, posição, duração, sangramento esperado e necessidade de monitorização neurológica.</w:t>
      </w:r>
    </w:p>
    <w:p w14:paraId="512A8E28"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3 — Posicionamento é intervenção clínica</w:t>
      </w:r>
    </w:p>
    <w:p w14:paraId="689C69C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 xml:space="preserve">A posição do paciente modifica retorno venoso, ventilação e pressões sobre tecidos vulneráveis. Planejamento inadequado pode aumentar sangramento ou produzir lesões evitáveis. Apoios, </w:t>
      </w:r>
      <w:r w:rsidRPr="00F77032">
        <w:rPr>
          <w:rFonts w:ascii="Times New Roman" w:eastAsia="Times New Roman" w:hAnsi="Times New Roman" w:cs="Times New Roman"/>
          <w:color w:val="000000"/>
          <w:kern w:val="0"/>
          <w14:ligatures w14:val="none"/>
        </w:rPr>
        <w:lastRenderedPageBreak/>
        <w:t>proteção ocular e liberdade abdominal devem ser tratados como componentes da segurança cirúrgica.</w:t>
      </w:r>
    </w:p>
    <w:p w14:paraId="5393AC12"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10. Referências</w:t>
      </w:r>
    </w:p>
    <w:p w14:paraId="633D1D22"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Ornstein E, Berko R. Anesthesia techniques in complex spine surgery. Neurosurg Clin N Am. 2006;17(3):191-203.</w:t>
      </w:r>
    </w:p>
    <w:p w14:paraId="3A937F16"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Carabini LM, Koski TR, Bebawy JF. Perioperative management for complex spine fusion surgery. Anesthesiology. 2024;140(2):293-303.</w:t>
      </w:r>
    </w:p>
    <w:p w14:paraId="477F51BF"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Halpin RJ, Sugrue PA, Gould RW, Kallas PG, Schafer MF, Ondra SL, et al. Standardizing care for high-risk patients in spine surgery: the Northwestern high-risk spine protocol. Spine (Phila Pa 1976). 2010;35(25):2232-8.</w:t>
      </w:r>
    </w:p>
    <w:p w14:paraId="7A6FF5A8"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Stein M, Cassara EL. Preoperative pulmonary evaluation and therapy for surgery patients. JAMA. 1970;211:787-90.</w:t>
      </w:r>
    </w:p>
    <w:p w14:paraId="3430361A"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Tarhan S, Moffitt EA, Sessler AD, et al. Risk of anesthesia and surgery in patients with chronic bronchitis and chronic obstructive pulmonary disease. Surgery. 1973;74:720-6.</w:t>
      </w:r>
    </w:p>
    <w:p w14:paraId="389857E4"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Smetana GW. Preoperative pulmonary evaluation. N Engl J Med. 1999;340:937-44.</w:t>
      </w:r>
    </w:p>
    <w:p w14:paraId="47709481"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Epstein NE. Comorbidities and complications in spine surgery. Surg Neurol Int. 2019;10:100.</w:t>
      </w:r>
    </w:p>
    <w:p w14:paraId="44FDE810"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Bagatini A, Trindade RD, Gomes CR, Marcks R. Anestesia para cirurgia bariátrica: avaliação retrospectiva e revisão da literatura. Rev Bras Anestesiol. 2006;56(3):205-22.</w:t>
      </w:r>
    </w:p>
    <w:p w14:paraId="5BBC876D"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Chung F. Obstructive sleep apnea and anesthesia-what an anesthesiologist should know? Sleep Med Clin. 2013;8:105-20.</w:t>
      </w:r>
    </w:p>
    <w:p w14:paraId="6AA443BA"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Yeoh C, Teng H, Jackson J, Hingula L, Irie T, Legler A, et al. Metabolic disorders and anesthesia. Curr Anesthesiol Rep. 2019;9(3):340-59.</w:t>
      </w:r>
    </w:p>
    <w:p w14:paraId="3AC71C53"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Chung SA, Yuan H, Chung F. A systematic review of obstructive sleep apnea and its implications for anesthesiologists. Anesth Analg. 2008;107:1543-63.</w:t>
      </w:r>
    </w:p>
    <w:p w14:paraId="03966942"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Silva RSB, Andrade LR, Martins KLR, Santos DS, Borges TRF, et al. Avaliação pré-anestésica e seus objetivos: revisão de literatura. Braz J Implantol Health Sci. 2024;6(4):764-79.</w:t>
      </w:r>
    </w:p>
    <w:p w14:paraId="3C50B8EE"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de Almeida Justo MCS, Zanchin CI, Lima WC, Duarte DF, Batti MAC, et al. Exames complementares na avaliação pré-anestésica. Braz J Anesthesiol. 2020;40(5):303-9.</w:t>
      </w:r>
    </w:p>
    <w:p w14:paraId="7FD365E3"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Khanna P, Sarkar S, Garg B. Anesthetic considerations in spine surgery: what orthopaedic surgeon should know! J Clin Orthop Trauma. 2020;11(5):742-8.</w:t>
      </w:r>
    </w:p>
    <w:p w14:paraId="6BF8B717"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Brown CH. Preoperative evaluation for spinal surgery. Anesthesiol Clin. 2016;34(1):77-90.</w:t>
      </w:r>
    </w:p>
    <w:p w14:paraId="3F94D056"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Sykes DAW. Awake spinal anesthesia facilitates spine surgery in poor surgical candidates: a case series. Neurochirurgie. 2023;69(3):101444.</w:t>
      </w:r>
    </w:p>
    <w:p w14:paraId="4B094B22"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Breton JM, Ludwig CG, Yang MJ, Nail TJ, Riesenburger RI, Liu P, et al. Spinal anesthesia in contemporary and complex lumbar spine surgery: experience with 343 cases. J Neurosurg Spine. 2022;36(4):534-41.</w:t>
      </w:r>
    </w:p>
    <w:p w14:paraId="3E9433AA"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Adamczyk K, Koszela K, Zaczyński A, Niedźwiecki M, Brzozowska-Mańkowska S, Gasik R. Ultrasound-guided blocks for spine surgery: part 1-cervix. Int J Environ Res Public Health. 2023;20(3):2098.</w:t>
      </w:r>
    </w:p>
    <w:p w14:paraId="568ED234"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De Rojas JO, Syre P, Welch WC. Regional anesthesia versus general anesthesia for surgery on the lumbar spine: a review of the modern literature. Clin Neurol Neurosurg. 2014;119:39-43.</w:t>
      </w:r>
    </w:p>
    <w:p w14:paraId="4022FFBD"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Rajjoub R, Ghaith AK, El-Hajj VG, et al. Comparative outcomes of awake spine surgery under spinal versus general anesthesia: a comprehensive systematic review and meta-analysis. Eur Spine J. 2024;33:985-1000.</w:t>
      </w:r>
    </w:p>
    <w:p w14:paraId="19B9D040"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Finsterwald M, Muster M, Farshad M, Saporito A, Brada M, Aguirre JA. Spinal versus general anesthesia for lumbar spine surgery in high risk patients: perioperative hemodynamic stability, complications and costs. J Clin Anesth. 2018;46:3-7.</w:t>
      </w:r>
    </w:p>
    <w:p w14:paraId="0876F1E2"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Godfrey O, Tariq R, Akhtar Khan S, Hussain M, Ahmed U. Degenerative lumbar spine surgeries under regional anesthesia in a developing country: an initial case series. Cureus. 2023;15(1):e34065.</w:t>
      </w:r>
    </w:p>
    <w:p w14:paraId="562A1B48"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Shriver MF, Zeer V, Alentado VJ, Mroz TE, Benzel EC, Steinmetz MP. Lumbar spine surgery positioning complications: a systematic review. Neurosurg Focus. 2015;39(4):E16.</w:t>
      </w:r>
    </w:p>
    <w:p w14:paraId="28656B21"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Jemal Shifa, et al. A case of bilateral visual loss after spinal cord surgery. Pan Afr Med J. 2016;23:119.</w:t>
      </w:r>
    </w:p>
    <w:p w14:paraId="55CB9FE3"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Hoff JM, Varhaug P, Midelfart A, Lund-Johansen M. Acute visual loss after spinal surgery. Acta Ophthalmol. 2010;88:490-2.</w:t>
      </w:r>
    </w:p>
    <w:p w14:paraId="7FC1AB91"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Uribe AA, Baig MN, Puente EG, Viloria A, Mendel E, Bergese SD. Current intraoperative devices to reduce visual loss after spine surgery. Neurosurg Focus. 2012;33(2):E14.</w:t>
      </w:r>
    </w:p>
    <w:p w14:paraId="43DFCD4A"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Geeraerts T, Devys JM. Postoperative visual loss following prone spinal surgery. Br J Anaesth. 2005;95(5):719-20.</w:t>
      </w:r>
    </w:p>
    <w:p w14:paraId="7BD37435"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Quraishi NA, Wolinsky JP, Gokaslan ZL. Transient bilateral post-operative visual loss in spinal surgery. Eur Spine J. 2012;21(Suppl 4):495-8.</w:t>
      </w:r>
    </w:p>
    <w:p w14:paraId="7A1E1DC5"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Pizov R, Segal E, Kaplan L, Floman Y, Perel A. The use of systolic pressure variation in hemodynamic monitoring during deliberate hypotension in spine surgery. J Clin Anesth. 1990;2(2):96-100.</w:t>
      </w:r>
    </w:p>
    <w:p w14:paraId="70690CD1"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Vollmar B, Olinger A, Hildebrandt U, Menger MD. Reliable noninvasive parameters for early detection of cardiopulmonary compromise induced by carbon dioxide thoracoretroperitoneum in minimally invasive thoracolumboendoscopic spine surgery. Surg Endosc. 2000;14(9):820-4.</w:t>
      </w:r>
    </w:p>
    <w:p w14:paraId="091DB0AE"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Prasad C, Radhakrishna N, Pandia MP, Khandelwal A, Singh GP, Bithal PK. The effect of goal-directed fluid therapy versus standard fluid therapy on the cuff leak gradient in patients undergoing complex spine surgery in prone position. J Neurosci Rural Pract. 2021;12(4):745-50.</w:t>
      </w:r>
    </w:p>
    <w:p w14:paraId="530FB556"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Abdelhamid B, Matta M, Rady A, Adel G, Gamal M. Conventional fluid management versus plethysmographic variability index-based goal directed fluid management in patients undergoing spine surgery in the prone position-a randomised control trial. Anaesthesiol Intensive Ther. 2023;55(3):186-95.</w:t>
      </w:r>
    </w:p>
    <w:p w14:paraId="1CAC91F1"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Tomescu DR, Scarlatescu E, Bubenek-Turconi )I. Can goal-directed fluid therapy decrease the use of blood and hemoderivates in surgical patients? Minerva Anestesiol. 2020;86(12):1346-52.</w:t>
      </w:r>
    </w:p>
    <w:p w14:paraId="23677B08"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Basques BA, Anandasivam NS, Webb ML. Risk factors for blood transfusion with primary posterior lumbar fusion. Spine. 2015;40:1792-7.</w:t>
      </w:r>
    </w:p>
    <w:p w14:paraId="53E7A963"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Hui S, Xu D, Ren Z. Can tranexamic acid conserve blood and save operative time in spinal surgeries? A meta-analysis. Spine J. 2018;18:1325-37.</w:t>
      </w:r>
    </w:p>
    <w:p w14:paraId="795A1FBD"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Yuan L, Zeng Y, Chen ZQ. Efficacy and safety of antifibrinolytic agents in spinal surgery. Chin Med J. 2019;132:577-88.</w:t>
      </w:r>
    </w:p>
    <w:p w14:paraId="1180A1A1"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Singleton M, Ghisi D, Memtsoudis S. Perioperative management in complex spine surgery. Minerva Anestesiol. 2022;88(5):396-406.</w:t>
      </w:r>
    </w:p>
    <w:p w14:paraId="0EC55CA8"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Garg BMS, Ahuja KMS, Sharan AD. Regional anesthesia for spine surgery. J Am Acad Orthop Surg. 2022;30(17):809-19.</w:t>
      </w:r>
    </w:p>
    <w:p w14:paraId="4480513A" w14:textId="77777777" w:rsidR="00F77032" w:rsidRPr="00F77032" w:rsidRDefault="00F77032" w:rsidP="00F77032">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Deepak A, Praveen C, Mark C, Afrin S, Arnold K, Faysal M, et al. Multimodal analgesia for perioperative management of patients presenting for spinal surgery. Curr Pharm Des. 2019;25:19.</w:t>
      </w:r>
    </w:p>
    <w:p w14:paraId="195EA80F"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11. Metadados</w:t>
      </w:r>
    </w:p>
    <w:p w14:paraId="5F6206E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Título SEO:</w:t>
      </w:r>
      <w:r w:rsidRPr="00F77032">
        <w:rPr>
          <w:rFonts w:ascii="Times New Roman" w:eastAsia="Times New Roman" w:hAnsi="Times New Roman" w:cs="Times New Roman"/>
          <w:color w:val="000000"/>
          <w:kern w:val="0"/>
          <w14:ligatures w14:val="none"/>
        </w:rPr>
        <w:t> Anestesia para cirurgia da coluna vertebral</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Meta descrição:</w:t>
      </w:r>
      <w:r w:rsidRPr="00F77032">
        <w:rPr>
          <w:rFonts w:ascii="Times New Roman" w:eastAsia="Times New Roman" w:hAnsi="Times New Roman" w:cs="Times New Roman"/>
          <w:color w:val="000000"/>
          <w:kern w:val="0"/>
          <w14:ligatures w14:val="none"/>
        </w:rPr>
        <w:t> Princípios da anestesia em cirurgia da coluna: avaliação pré-operatória, técnica anestésica, posicionamento, hemodinâmica e analgesia.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Resumo de chamada:</w:t>
      </w:r>
      <w:r w:rsidRPr="00F77032">
        <w:rPr>
          <w:rFonts w:ascii="Times New Roman" w:eastAsia="Times New Roman" w:hAnsi="Times New Roman" w:cs="Times New Roman"/>
          <w:color w:val="000000"/>
          <w:kern w:val="0"/>
          <w14:ligatures w14:val="none"/>
        </w:rPr>
        <w:t> Planejamento anestésico integrado à cirurgia da coluna, desde a avaliação de risco até posicionamento, monitorização hemodinâmica e recuperação pós-operatória.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Slug:</w:t>
      </w:r>
      <w:r w:rsidRPr="00F77032">
        <w:rPr>
          <w:rFonts w:ascii="Times New Roman" w:eastAsia="Times New Roman" w:hAnsi="Times New Roman" w:cs="Times New Roman"/>
          <w:color w:val="000000"/>
          <w:kern w:val="0"/>
          <w14:ligatures w14:val="none"/>
        </w:rPr>
        <w:t> </w:t>
      </w:r>
      <w:r w:rsidRPr="00F77032">
        <w:rPr>
          <w:rFonts w:ascii="Courier New" w:eastAsia="Times New Roman" w:hAnsi="Courier New" w:cs="Courier New"/>
          <w:color w:val="000000"/>
          <w:kern w:val="0"/>
          <w:sz w:val="20"/>
          <w:szCs w:val="20"/>
          <w14:ligatures w14:val="none"/>
        </w:rPr>
        <w:t>anestesia-cirurgia-coluna</w:t>
      </w:r>
    </w:p>
    <w:p w14:paraId="4EB01314" w14:textId="77777777" w:rsidR="00F77032" w:rsidRPr="00F77032" w:rsidRDefault="009C0497" w:rsidP="00F77032">
      <w:pPr>
        <w:spacing w:after="0" w:line="240" w:lineRule="auto"/>
        <w:rPr>
          <w:rFonts w:ascii="Times New Roman" w:eastAsia="Times New Roman" w:hAnsi="Times New Roman" w:cs="Times New Roman"/>
          <w:kern w:val="0"/>
          <w14:ligatures w14:val="none"/>
        </w:rPr>
      </w:pPr>
      <w:r w:rsidRPr="009C0497">
        <w:rPr>
          <w:rFonts w:ascii="Times New Roman" w:eastAsia="Times New Roman" w:hAnsi="Times New Roman" w:cs="Times New Roman"/>
          <w:noProof/>
          <w:kern w:val="0"/>
        </w:rPr>
        <w:pict w14:anchorId="097AC352">
          <v:rect id="_x0000_i1030" style="width:0;height:1.5pt" o:hralign="center" o:hrstd="t" o:hr="t" fillcolor="#a0a0a0" stroked="f"/>
        </w:pict>
      </w:r>
    </w:p>
    <w:p w14:paraId="53D8B876" w14:textId="77777777" w:rsidR="00F77032" w:rsidRPr="00F77032" w:rsidRDefault="00F77032" w:rsidP="00F7703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77032">
        <w:rPr>
          <w:rFonts w:ascii="Times New Roman" w:eastAsia="Times New Roman" w:hAnsi="Times New Roman" w:cs="Times New Roman"/>
          <w:b/>
          <w:bCs/>
          <w:color w:val="000000"/>
          <w:kern w:val="36"/>
          <w:sz w:val="48"/>
          <w:szCs w:val="48"/>
          <w14:ligatures w14:val="none"/>
        </w:rPr>
        <w:t>CAPÍTULO 105 — CONTROLE DO SANGRAMENTO INTRAOPERATÓRIO</w:t>
      </w:r>
    </w:p>
    <w:p w14:paraId="3C296AAC"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 Identificação</w:t>
      </w:r>
    </w:p>
    <w:p w14:paraId="1BEE203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Número:</w:t>
      </w:r>
      <w:r w:rsidRPr="00F77032">
        <w:rPr>
          <w:rFonts w:ascii="Times New Roman" w:eastAsia="Times New Roman" w:hAnsi="Times New Roman" w:cs="Times New Roman"/>
          <w:color w:val="000000"/>
          <w:kern w:val="0"/>
          <w14:ligatures w14:val="none"/>
        </w:rPr>
        <w:t> 105</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Título:</w:t>
      </w:r>
      <w:r w:rsidRPr="00F77032">
        <w:rPr>
          <w:rFonts w:ascii="Times New Roman" w:eastAsia="Times New Roman" w:hAnsi="Times New Roman" w:cs="Times New Roman"/>
          <w:color w:val="000000"/>
          <w:kern w:val="0"/>
          <w14:ligatures w14:val="none"/>
        </w:rPr>
        <w:t> Controle do Sangramento Intraoperatório</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Seção:</w:t>
      </w:r>
      <w:r w:rsidRPr="00F77032">
        <w:rPr>
          <w:rFonts w:ascii="Times New Roman" w:eastAsia="Times New Roman" w:hAnsi="Times New Roman" w:cs="Times New Roman"/>
          <w:color w:val="000000"/>
          <w:kern w:val="0"/>
          <w14:ligatures w14:val="none"/>
        </w:rPr>
        <w:t> Seção 10 — Temas Complementares</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Autores:</w:t>
      </w:r>
      <w:r w:rsidRPr="00F77032">
        <w:rPr>
          <w:rFonts w:ascii="Times New Roman" w:eastAsia="Times New Roman" w:hAnsi="Times New Roman" w:cs="Times New Roman"/>
          <w:color w:val="000000"/>
          <w:kern w:val="0"/>
          <w14:ligatures w14:val="none"/>
        </w:rPr>
        <w:t> Erich Vinicius de Paula; Christopher Cralcev; Gustavo Alves Brito Isaias</w:t>
      </w:r>
    </w:p>
    <w:p w14:paraId="19571F7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2. Contexto</w:t>
      </w:r>
    </w:p>
    <w:p w14:paraId="3E5E321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 xml:space="preserve">O sangramento intraoperatório constitui uma das complicações relevantes da cirurgia da coluna, particularmente em procedimentos extensos, deformidades, revisões e construções multissegmentares. Suas consequências não se restringem à necessidade transfusional: hematomas podem comprometer estruturas neurais, a perda sanguínea dificulta a visibilidade do campo e transfusões expõem o paciente a riscos adicionais. O problema também é heterogêneo e não pode ser avaliado apenas pelo volume perdido ou por um único valor laboratorial. História de sangramento, anemia, comorbidades, medicamentos, tipo de procedimento e condições fisiológicas durante a operação precisam ser considerados conjuntamente. O capítulo organiza o </w:t>
      </w:r>
      <w:r w:rsidRPr="00F77032">
        <w:rPr>
          <w:rFonts w:ascii="Times New Roman" w:eastAsia="Times New Roman" w:hAnsi="Times New Roman" w:cs="Times New Roman"/>
          <w:color w:val="000000"/>
          <w:kern w:val="0"/>
          <w14:ligatures w14:val="none"/>
        </w:rPr>
        <w:lastRenderedPageBreak/>
        <w:t>manejo desde a avaliação pré-operatória até a hemostasia local, testes convencionais e viscoelásticos, uso de hemocomponentes e agentes farmacológicos. O conceito de Patient Blood Management amplia essa abordagem ao integrar prevenção da anemia, redução da perda sanguínea e utilização racional de transfusões.</w:t>
      </w:r>
    </w:p>
    <w:p w14:paraId="3EB4F98B"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3. Objetivo</w:t>
      </w:r>
    </w:p>
    <w:p w14:paraId="3FD62B2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Compreender os fatores que aumentam o risco hemorrágico, reconhecer as limitações dos exames laboratoriais e conhecer as principais estratégias de prevenção e controle do sangramento. O capítulo procura integrar avaliação clínica, técnica cirúrgica e anestésica, monitorização da coagulação, transfusão e agentes hemostáticos dentro de uma abordagem multidisciplinar.</w:t>
      </w:r>
    </w:p>
    <w:p w14:paraId="16415E78"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4. Conteúdo principal</w:t>
      </w:r>
    </w:p>
    <w:p w14:paraId="64D1CE06"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O risco começa antes da cirurgia</w:t>
      </w:r>
    </w:p>
    <w:p w14:paraId="5FD9B15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história clínica dirigida é central. Anemia, doença renal ou hepática, neoplasias, alterações hematológicas e uso de medicamentos que interferem na coagulação podem modificar o risco. Exames laboratoriais devem ser solicitados de acordo com esse contexto e com a magnitude esperada do procedimento.</w:t>
      </w:r>
    </w:p>
    <w:p w14:paraId="3D76404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Testes convencionais apresentam limitações e não reproduzem integralmente o processo hemostático. Métodos viscoelásticos podem acrescentar informação dinâmica em cirurgias de maior complexidade e auxiliar a reposição direcionada.</w:t>
      </w:r>
    </w:p>
    <w:p w14:paraId="7C8D01E3"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Hemostasia é sistêmica e local</w:t>
      </w:r>
    </w:p>
    <w:p w14:paraId="488E6BB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Plexos venosos epidurais representam fonte importante de sangramento. Posição adequada, manutenção do abdome livre na posição prona, técnica cuidadosa de dissecção e controle progressivo do sangramento são fundamentais.</w:t>
      </w:r>
    </w:p>
    <w:p w14:paraId="1AC6DD8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Hipotermia, acidose e distúrbios metabólicos podem agravar coagulopatia mesmo quando o campo cirúrgico parece controlado.</w:t>
      </w:r>
    </w:p>
    <w:p w14:paraId="5A2DC85B"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Transfusão orientada pelo contexto</w:t>
      </w:r>
    </w:p>
    <w:p w14:paraId="296C210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indicação de hemocomponentes não deve ser reduzida a um valor laboratorial isolado. Perfusão, sangramento ativo, fisiologia e resultados dos testes de coagulação precisam ser considerados.</w:t>
      </w:r>
    </w:p>
    <w:p w14:paraId="343AE3F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Plasma, plaquetas, crioprecipitado ou concentrados específicos têm indicações diferentes e não devem ser usados como expansores ou estratégias inespecíficas.</w:t>
      </w:r>
    </w:p>
    <w:p w14:paraId="5247D125"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Farmacologia e agentes locais</w:t>
      </w:r>
    </w:p>
    <w:p w14:paraId="282F598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O capítulo discute hemostáticos tópicos, concentrado de fibrinogênio e antifibrinolíticos. O uso profilático de fibrinogênio em pacientes sem deficiência estabelecida permanece apresentado como estratégia experimental diante das evidências disponíveis.</w:t>
      </w:r>
    </w:p>
    <w:p w14:paraId="3B8B394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Em contraste, o ácido tranexâmico conta com evidências mais consistentes para redução do sangramento em diferentes contextos de cirurgia da coluna.</w:t>
      </w:r>
    </w:p>
    <w:p w14:paraId="67216ECC"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Patient Blood Management</w:t>
      </w:r>
    </w:p>
    <w:p w14:paraId="08A47AA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Patient Blood Management (PBM) reúne três princípios: otimizar a condição hematológica antes da cirurgia, reduzir a perda sanguínea e utilizar transfusões de forma criteriosa. Essa estrutura depende da integração entre cirurgia, anestesia, hematologia e hemoterapia.</w:t>
      </w:r>
    </w:p>
    <w:p w14:paraId="29030E46"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5. Aplicação clínica</w:t>
      </w:r>
    </w:p>
    <w:p w14:paraId="75475B9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Em uma cirurgia de maior risco hemorrágico, o controle do sangramento não deve começar quando o campo se torna difícil. Ele começa pela identificação da anemia, revisão cuidadosa das medicações e conhecimento das comorbidades.</w:t>
      </w:r>
    </w:p>
    <w:p w14:paraId="4D91604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Durante o procedimento, perda sanguínea difusa pode refletir não apenas um vaso não controlado, mas alterações sistêmicas da coagulação ou condições fisiológicas desfavoráveis. Nesses cenários, a interpretação integrada entre campo operatório, anestesia e testes laboratoriais é superior a decisões baseadas em um único parâmetro.</w:t>
      </w:r>
    </w:p>
    <w:p w14:paraId="5D26AAD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Ferramentas viscoelásticas podem ser particularmente úteis quando existe sangramento importante e é necessário identificar rapidamente qual componente da hemostasia está comprometido.</w:t>
      </w:r>
    </w:p>
    <w:p w14:paraId="2F75561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Da mesma forma, a decisão transfusional deve considerar perfusão e situação clínica. O capítulo não apoia transfusão ou reposição de fatores de forma meramente profilática e reforça que agentes tópicos ou farmacológicos não compensam técnica cirúrgica inadequada.</w:t>
      </w:r>
    </w:p>
    <w:p w14:paraId="4374BBF2"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6. Mensagem central</w:t>
      </w:r>
    </w:p>
    <w:p w14:paraId="705B1BF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controle do sangramento em cirurgia da coluna é um processo contínuo que começa no planejamento e envolve biologia, técnica e fisiologia. História clínica, correção de fatores modificáveis, posicionamento, hemostasia cirúrgica, monitorização da coagulação e uso criterioso de antifibrinolíticos e hemocomponentes devem funcionar como partes de uma única estratégia.</w:t>
      </w:r>
    </w:p>
    <w:p w14:paraId="724C9F87"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7. Por que este capítulo importa</w:t>
      </w:r>
    </w:p>
    <w:p w14:paraId="0091054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 xml:space="preserve">Perda sanguínea significativa pode comprometer simultaneamente visibilidade, estabilidade fisiológica e segurança neurológica. Reduzi-la não significa simplesmente transfundir mais cedo ou adicionar hemostáticos ao campo. O capítulo mostra que prevenção e resposta efetiva </w:t>
      </w:r>
      <w:r w:rsidRPr="00F77032">
        <w:rPr>
          <w:rFonts w:ascii="Times New Roman" w:eastAsia="Times New Roman" w:hAnsi="Times New Roman" w:cs="Times New Roman"/>
          <w:color w:val="000000"/>
          <w:kern w:val="0"/>
          <w14:ligatures w14:val="none"/>
        </w:rPr>
        <w:lastRenderedPageBreak/>
        <w:t>dependem de reconhecer o risco antes da operação e tratar a causa predominante do sangramento. Essa abordagem diminui intervenções empíricas e aproxima o manejo do conceito de Patient Blood Management.</w:t>
      </w:r>
    </w:p>
    <w:p w14:paraId="5684BC7A"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8. Descritores</w:t>
      </w:r>
    </w:p>
    <w:p w14:paraId="3D3F70E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DeCS — MeSH:</w:t>
      </w:r>
      <w:r w:rsidRPr="00F77032">
        <w:rPr>
          <w:rFonts w:ascii="Times New Roman" w:eastAsia="Times New Roman" w:hAnsi="Times New Roman" w:cs="Times New Roman"/>
          <w:color w:val="000000"/>
          <w:kern w:val="0"/>
          <w14:ligatures w14:val="none"/>
        </w:rPr>
        <w:t> Hemorragia — Hemorrhage; Hemostasia — Hemostasis; Transfusão de Sangue — Blood Transfusion; Coagulação Sanguínea — Blood Coagulation; Testes de Coagulação Sanguínea — Blood Coagulation Tests; Ácido Tranexâmico — Tranexamic Acid; Fibrinogênio — Fibrinogen.</w:t>
      </w:r>
    </w:p>
    <w:p w14:paraId="45DC533F"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9. Cards</w:t>
      </w:r>
    </w:p>
    <w:p w14:paraId="30726A3C"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1 — Hemostasia começa no planejamento</w:t>
      </w:r>
    </w:p>
    <w:p w14:paraId="30624B2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Anemia, comorbidades e medicamentos que interferem na coagulação modificam o risco antes da primeira incisão. Uma história dirigida frequentemente oferece informação mais relevante do que a solicitação indiscriminada de exames laboratoriais em pacientes sem indicação clínica.</w:t>
      </w:r>
    </w:p>
    <w:p w14:paraId="45EACCD9"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2 — Transfundir exige contexto</w:t>
      </w:r>
    </w:p>
    <w:p w14:paraId="5BC16FF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Valores de hemoglobina e testes de coagulação ajudam na decisão, mas não substituem a avaliação de sangramento ativo, perfusão e estabilidade fisiológica. Hemocomponentes diferentes tratam problemas diferentes e não devem ser utilizados como resposta genérica a qualquer sangramento.</w:t>
      </w:r>
    </w:p>
    <w:p w14:paraId="26F0DCA7"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3 — Fármaco não corrige técnica</w:t>
      </w:r>
    </w:p>
    <w:p w14:paraId="014DB38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Antifibrinolíticos e hemostáticos locais podem reduzir perda sanguínea em situações apropriadas. Entretanto, posição inadequada, congestão venosa, dissecção traumática ou falha de hemostasia não são resolvidas simplesmente acrescentando agentes farmacológicos.</w:t>
      </w:r>
    </w:p>
    <w:p w14:paraId="1CEE33F7"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10. Referências</w:t>
      </w:r>
    </w:p>
    <w:p w14:paraId="794C5B5A"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Elgafy H, Bransford RJ, McGuire RA, Dettori JR, Fischer D. Blood loss in major spine surgery: are there effective measures to decrease massive hemorrhage in major spine fusion surgery? Spine (Phila Pa 1976). 2010;35(Suppl 9S).</w:t>
      </w:r>
    </w:p>
    <w:p w14:paraId="01598220"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Yoshihara H, Yoneoka D. Predictors of allogeneic blood transfusion in spinal fusion for pediatric patients with idiopathic scoliosis in the United States, 2004-2009. Spine (Phila Pa 1976). 2014;39(22):1860-7.</w:t>
      </w:r>
    </w:p>
    <w:p w14:paraId="61E1A910"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Zhou JJ, Hemphill C, Walker CT, Farber SH, Uribe JS. Adverse effects of perioperative blood transfusion in spine surgery. World Neurosurg. 2021;149:73-9.</w:t>
      </w:r>
    </w:p>
    <w:p w14:paraId="291FC7CC"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 xml:space="preserve">Shafique MA, Haseeb A, Ali SMS, Mustafa MS, Naz A, Khalid F, et al. Assessing the impact of perioperative allogenic blood transfusion in spinal surgery: a comprehensive </w:t>
      </w:r>
      <w:r w:rsidRPr="00F77032">
        <w:rPr>
          <w:rFonts w:ascii="Times New Roman" w:eastAsia="Times New Roman" w:hAnsi="Times New Roman" w:cs="Times New Roman"/>
          <w:color w:val="000000"/>
          <w:kern w:val="0"/>
          <w14:ligatures w14:val="none"/>
        </w:rPr>
        <w:lastRenderedPageBreak/>
        <w:t>systematic review, meta-analysis, and meta-regression analysis. Neurosurg Rev. 2025;48(1).</w:t>
      </w:r>
    </w:p>
    <w:p w14:paraId="43409B26"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Remy KE, Hall MW, Cholette J, Juffermans NP, Nicol K, Doctor A, et al. Mechanisms of red blood cell transfusion-related immunomodulation. Transfusion. 2018;58(3):804-15.</w:t>
      </w:r>
    </w:p>
    <w:p w14:paraId="208CE9EE"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Canillas F, Gómez-Ramírez S, García-Erce JA, Pavía-Molina J, Gómez-Luque A, Muñoz M. Patient blood management in orthopaedic surgery. Rev Esp Cir Ortop Traumatol. 2015;59(3):137-49.</w:t>
      </w:r>
    </w:p>
    <w:p w14:paraId="58F7233B"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Roberts H, Hoffman M, Monroe D. A cell-based model of thrombin generation. Semin Thromb Hemost. 2006;32(Suppl 1):32-8.</w:t>
      </w:r>
    </w:p>
    <w:p w14:paraId="1C0F6B1F"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Chee YL, Crawford JC, Watson HG, Greaves M. Guidelines on the assessment of bleeding risk prior to surgery or invasive procedures: British Committee for Standards in Haematology. Br J Haematol. 2008;140(5):496-504.</w:t>
      </w:r>
    </w:p>
    <w:p w14:paraId="168D5231"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Douketis JD, Spyropoulos AC. Perioperative management of patients taking direct oral anticoagulants: a review. JAMA. 2024;332(10):825-34.</w:t>
      </w:r>
    </w:p>
    <w:p w14:paraId="4696D1AE"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Goes R, Muskens IS, Smith TR, Mekary RA, Broekman MLD, Moojen WA. Risk of aspirin continuation in spinal surgery: a systematic review and meta-analysis. Spine J. 2017;17(12):1939-46.</w:t>
      </w:r>
    </w:p>
    <w:p w14:paraId="22F6DCAD"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Kozek-Langenecker SA, Ahmed AB, Afshari A, Albaladejo P, Aldecoa C, Barauskas G, et al. Management of severe perioperative bleeding: guidelines from the European Society of Anaesthesiology. Eur J Anaesthesiol. 2017;34(6):332-95.</w:t>
      </w:r>
    </w:p>
    <w:p w14:paraId="737C91DE"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Mikhail C, Pennington Z, Arnold PM, Brodke DS, Chapman JR, Chutkan N, et al. Minimizing blood loss in spine surgery. Global Spine J. 2020;10(1 Suppl):71S-83S.</w:t>
      </w:r>
    </w:p>
    <w:p w14:paraId="0CF4D442"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Sabel M, Stummer W. The use of local agents: Surgicel and Surgifoam. Eur Spine J. 2004;13(Suppl 1).</w:t>
      </w:r>
    </w:p>
    <w:p w14:paraId="277F9CF4"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Hu SS. Blood loss in adult spinal surgery. Eur Spine J. 2004;13(Suppl 1).</w:t>
      </w:r>
    </w:p>
    <w:p w14:paraId="65B50039"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Naik BI, Pajewski TN, Bogdonoff DL, Zuo Z, Clark P, Terkawi AS, et al. Rotational thromboelastometry-guided blood product management in major spine surgery. J Neurosurg Spine. 2015;23(2):239-49.</w:t>
      </w:r>
    </w:p>
    <w:p w14:paraId="6BD684C3"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Guan J, Cole CD, Schmidt MH, Dailey AT. Utility of intraoperative rotational thromboelastometry in thoracolumbar deformity surgery. J Neurosurg Spine. 2017;27(5):528-33.</w:t>
      </w:r>
    </w:p>
    <w:p w14:paraId="1FB028EC"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Hartmann J, Hermelin D, Levy JH. Viscoelastic testing: an illustrated review of technology and clinical applications. Res Pract Thromb Haemost. 2023;7(1):100031.</w:t>
      </w:r>
    </w:p>
    <w:p w14:paraId="441EB7C8"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Patel RV, Yearley AG, Isaac H, Chalif EJ, Chalif JI, Zaidi HA. Advances and evolving challenges in spinal deformity surgery. J Clin Med. 2023;12(19).</w:t>
      </w:r>
    </w:p>
    <w:p w14:paraId="697D4986"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Le Huec JC, AlEissa S, Bowey AJ, Debono B, El-Shawarbi A, Fernández-Baillo N, et al. Hemostats in spine surgery: literature review and expert panel recommendations. Neurospine. 2022;19(1):1-12.</w:t>
      </w:r>
    </w:p>
    <w:p w14:paraId="067A79AB"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Ministério da Saúde. Guia para uso de hemocomponentes. 2015.</w:t>
      </w:r>
    </w:p>
    <w:p w14:paraId="239A3C63"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Tse EYW, Cheung WY, Ng KFJ, Luk KDK. Reducing perioperative blood loss and allogeneic blood transfusion in patients undergoing major spine surgery. J Bone Joint Surg. 2011;93(13):1268-77.</w:t>
      </w:r>
    </w:p>
    <w:p w14:paraId="6F0B5C55"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Levy JH, Shaw JR, Castellucci LA, Connors JM, Douketis J, Lindhoff-Last E, et al. Reversal of direct oral anticoagulants: guidance from the SSC of the ISTH. J Thromb Haemost. 2024;22(10):2889-99.</w:t>
      </w:r>
    </w:p>
    <w:p w14:paraId="21E215D4"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Callum J, Farkouh ME, Scales DC, Heddle NM, Crowther M, Rao V, et al. Effect of fibrinogen concentrate vs cryoprecipitate on blood component transfusion after cardiac surgery: the FIBRES randomized clinical trial. JAMA. 2019;322(20):1966-76.</w:t>
      </w:r>
    </w:p>
    <w:p w14:paraId="796C1D89"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Cushing MM, Haas T. Fibrinogen concentrate for perioperative bleeding: what can we learn from the clinical trials? Transfusion. 2019;59(11):3295-7.</w:t>
      </w:r>
    </w:p>
    <w:p w14:paraId="43B60176"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Barimani B, Moisan P, Santaguida C, Weber M. Therapeutic application of fibrinogen in spine surgery: a review article. Int J Spine Surg. 2021;15(3):549-61.</w:t>
      </w:r>
    </w:p>
    <w:p w14:paraId="3862ECE6"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Chen W, Shen J, Zhang Y, Hu A, Liang J, Ma L, et al. A randomised controlled trial of fibrinogen concentrate during scoliosis surgery. Anaesthesia. 2020;75(11):1476-81.</w:t>
      </w:r>
    </w:p>
    <w:p w14:paraId="46271603"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MacHotta A, Huisman EJ, Appel IM, Luijnenburg SE, Lopez-Yurda M, Cnossen MH, et al. Prophylactic fibrinogen concentrate administration in surgical correction of paediatric craniosynostosis: a double-blind placebo-controlled trial. Eur J Anaesthesiol. 2021;38(9):908-15.</w:t>
      </w:r>
    </w:p>
    <w:p w14:paraId="64843E7D"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Devereaux PJ, Marcucci M, Painter TW, Conen D, Lomivorotov V, Sessler DI, et al. Tranexamic acid in patients undergoing noncardiac surgery. N Engl J Med. 2022;386(21):1986-97.</w:t>
      </w:r>
    </w:p>
    <w:p w14:paraId="405E339A"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Yang B, Li H, Wang D, He X, Zhang C, Yang P. Systematic review and meta-analysis of perioperative intravenous tranexamic acid use in spinal surgery. PLoS One. 2013;8(2).</w:t>
      </w:r>
    </w:p>
    <w:p w14:paraId="78EE6DE3"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Shen F, Ding J, Wang Y, Yin C, Han Z, Ren X, et al. Topical hemostatic agents in spinal surgery. Spine J. 2024;24(6):933-46.</w:t>
      </w:r>
    </w:p>
    <w:p w14:paraId="6DFAA096" w14:textId="77777777" w:rsidR="00F77032" w:rsidRPr="00F77032" w:rsidRDefault="00F77032" w:rsidP="00F77032">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Leite F, Benites BD, da Silva RL, Soriano S, Alves SOC, Rizzo SRCP, et al. Consensus of the Brazilian Association of Hematology, Hemotherapy and Cellular Therapy on patient blood management: assessment and management of coagulation in the preoperative period. Hematol Transfus Cell Ther. 2024;46 Suppl 1:S24-31.</w:t>
      </w:r>
    </w:p>
    <w:p w14:paraId="7C50B8F1"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11. Metadados</w:t>
      </w:r>
    </w:p>
    <w:p w14:paraId="3FD3FFB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Título SEO:</w:t>
      </w:r>
      <w:r w:rsidRPr="00F77032">
        <w:rPr>
          <w:rFonts w:ascii="Times New Roman" w:eastAsia="Times New Roman" w:hAnsi="Times New Roman" w:cs="Times New Roman"/>
          <w:color w:val="000000"/>
          <w:kern w:val="0"/>
          <w14:ligatures w14:val="none"/>
        </w:rPr>
        <w:t> Controle do sangramento em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Meta descrição:</w:t>
      </w:r>
      <w:r w:rsidRPr="00F77032">
        <w:rPr>
          <w:rFonts w:ascii="Times New Roman" w:eastAsia="Times New Roman" w:hAnsi="Times New Roman" w:cs="Times New Roman"/>
          <w:color w:val="000000"/>
          <w:kern w:val="0"/>
          <w14:ligatures w14:val="none"/>
        </w:rPr>
        <w:t> Avaliação do risco hemorrágico, hemostasia, transfusão, testes de coagulação e estratégias farmacológicas em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Resumo de chamada:</w:t>
      </w:r>
      <w:r w:rsidRPr="00F77032">
        <w:rPr>
          <w:rFonts w:ascii="Times New Roman" w:eastAsia="Times New Roman" w:hAnsi="Times New Roman" w:cs="Times New Roman"/>
          <w:color w:val="000000"/>
          <w:kern w:val="0"/>
          <w14:ligatures w14:val="none"/>
        </w:rPr>
        <w:t> Princípios para antecipar, reduzir e tratar o sangramento na cirurgia da coluna por meio de avaliação, hemostasia e Patient Blood Management.</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Slug:</w:t>
      </w:r>
      <w:r w:rsidRPr="00F77032">
        <w:rPr>
          <w:rFonts w:ascii="Times New Roman" w:eastAsia="Times New Roman" w:hAnsi="Times New Roman" w:cs="Times New Roman"/>
          <w:color w:val="000000"/>
          <w:kern w:val="0"/>
          <w14:ligatures w14:val="none"/>
        </w:rPr>
        <w:t> </w:t>
      </w:r>
      <w:r w:rsidRPr="00F77032">
        <w:rPr>
          <w:rFonts w:ascii="Courier New" w:eastAsia="Times New Roman" w:hAnsi="Courier New" w:cs="Courier New"/>
          <w:color w:val="000000"/>
          <w:kern w:val="0"/>
          <w:sz w:val="20"/>
          <w:szCs w:val="20"/>
          <w14:ligatures w14:val="none"/>
        </w:rPr>
        <w:t>controle-sangramento-cirurgia-coluna</w:t>
      </w:r>
    </w:p>
    <w:p w14:paraId="43060D96" w14:textId="77777777" w:rsidR="00F77032" w:rsidRPr="00F77032" w:rsidRDefault="009C0497" w:rsidP="00F77032">
      <w:pPr>
        <w:spacing w:after="0" w:line="240" w:lineRule="auto"/>
        <w:rPr>
          <w:rFonts w:ascii="Times New Roman" w:eastAsia="Times New Roman" w:hAnsi="Times New Roman" w:cs="Times New Roman"/>
          <w:kern w:val="0"/>
          <w14:ligatures w14:val="none"/>
        </w:rPr>
      </w:pPr>
      <w:r w:rsidRPr="009C0497">
        <w:rPr>
          <w:rFonts w:ascii="Times New Roman" w:eastAsia="Times New Roman" w:hAnsi="Times New Roman" w:cs="Times New Roman"/>
          <w:noProof/>
          <w:kern w:val="0"/>
        </w:rPr>
        <w:pict w14:anchorId="47850D4E">
          <v:rect id="_x0000_i1029" style="width:0;height:1.5pt" o:hralign="center" o:hrstd="t" o:hr="t" fillcolor="#a0a0a0" stroked="f"/>
        </w:pict>
      </w:r>
    </w:p>
    <w:p w14:paraId="5A4401DE" w14:textId="77777777" w:rsidR="00F77032" w:rsidRPr="00F77032" w:rsidRDefault="00F77032" w:rsidP="00F7703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77032">
        <w:rPr>
          <w:rFonts w:ascii="Times New Roman" w:eastAsia="Times New Roman" w:hAnsi="Times New Roman" w:cs="Times New Roman"/>
          <w:b/>
          <w:bCs/>
          <w:color w:val="000000"/>
          <w:kern w:val="36"/>
          <w:sz w:val="48"/>
          <w:szCs w:val="48"/>
          <w14:ligatures w14:val="none"/>
        </w:rPr>
        <w:t>CAPÍTULO 106 — USO DE ÓRTESES NA COLUNA VERTEBRAL</w:t>
      </w:r>
    </w:p>
    <w:p w14:paraId="7E087B56"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 Identificação</w:t>
      </w:r>
    </w:p>
    <w:p w14:paraId="26707C5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Número:</w:t>
      </w:r>
      <w:r w:rsidRPr="00F77032">
        <w:rPr>
          <w:rFonts w:ascii="Times New Roman" w:eastAsia="Times New Roman" w:hAnsi="Times New Roman" w:cs="Times New Roman"/>
          <w:color w:val="000000"/>
          <w:kern w:val="0"/>
          <w14:ligatures w14:val="none"/>
        </w:rPr>
        <w:t> 106</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Título:</w:t>
      </w:r>
      <w:r w:rsidRPr="00F77032">
        <w:rPr>
          <w:rFonts w:ascii="Times New Roman" w:eastAsia="Times New Roman" w:hAnsi="Times New Roman" w:cs="Times New Roman"/>
          <w:color w:val="000000"/>
          <w:kern w:val="0"/>
          <w14:ligatures w14:val="none"/>
        </w:rPr>
        <w:t> Uso de Órteses na Coluna Vertebral</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lastRenderedPageBreak/>
        <w:t>Seção:</w:t>
      </w:r>
      <w:r w:rsidRPr="00F77032">
        <w:rPr>
          <w:rFonts w:ascii="Times New Roman" w:eastAsia="Times New Roman" w:hAnsi="Times New Roman" w:cs="Times New Roman"/>
          <w:color w:val="000000"/>
          <w:kern w:val="0"/>
          <w14:ligatures w14:val="none"/>
        </w:rPr>
        <w:t> Seção 10 — Temas Complementares</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Autores:</w:t>
      </w:r>
      <w:r w:rsidRPr="00F77032">
        <w:rPr>
          <w:rFonts w:ascii="Times New Roman" w:eastAsia="Times New Roman" w:hAnsi="Times New Roman" w:cs="Times New Roman"/>
          <w:color w:val="000000"/>
          <w:kern w:val="0"/>
          <w14:ligatures w14:val="none"/>
        </w:rPr>
        <w:t> Sergio Zylbersztejn; Pedro Henrique Lacombe Antoneli; Daiane Gallina</w:t>
      </w:r>
    </w:p>
    <w:p w14:paraId="445EF73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2. Contexto</w:t>
      </w:r>
    </w:p>
    <w:p w14:paraId="0A3FACA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As órteses vertebrais procuram modificar temporariamente a mecânica da coluna por meio de restrição de movimento, redistribuição de cargas, controle de deformidades ou suporte durante recuperação. Sua utilização abrange trauma, deformidades, doenças degenerativas, osteoporose e situações pós-operatórias. Entretanto, “usar um colete” não constitui uma intervenção uniforme: o efeito depende do segmento tratado, rigidez do dispositivo, área de apoio, biomecânica da doença e adesão do paciente. Além disso, a literatura não demonstra benefício equivalente em todos os cenários. O avanço das técnicas de instrumentação também reduziu a necessidade de imobilização externa rotineira em várias cirurgias. O capítulo organiza os dispositivos por região anatômica e finalidade, discute seus mecanismos, indicações e limitações e ressalta que a escolha deve equilibrar proteção mecânica com conforto, mobilidade, função e riscos associados ao uso prolongado.</w:t>
      </w:r>
    </w:p>
    <w:p w14:paraId="47CEBC0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3. Objetivo</w:t>
      </w:r>
    </w:p>
    <w:p w14:paraId="610F8DE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Apresentar princípios biomecânicos e tipos de órteses para diferentes regiões da coluna, relacionando-os às principais indicações traumáticas, degenerativas, deformidades e pós-operatórias. O leitor deverá compreender que a eficácia depende da seleção adequada do dispositivo e do paciente e interpretar criticamente situações nas quais o benefício do uso rotineiro permanece limitado ou controverso.</w:t>
      </w:r>
    </w:p>
    <w:p w14:paraId="2CC42725"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4. Conteúdo principal</w:t>
      </w:r>
    </w:p>
    <w:p w14:paraId="7C1E87CF"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O princípio é biomecânico</w:t>
      </w:r>
    </w:p>
    <w:p w14:paraId="3A4D1A7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mobilidade varia conforme anatomia vertebral, orientação das facetas, discos, musculatura e estruturas adjacentes. Dessa forma, diferentes segmentos exigem diferentes mecanismos de controle.</w:t>
      </w:r>
    </w:p>
    <w:p w14:paraId="3AFC3FD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As órteses podem restringir movimentos, aumentar suporte externo, alterar distribuição de cargas ou atuar como estímulo postural. Maior rigidez, contudo, não significa automaticamente maior benefício clínico.</w:t>
      </w:r>
    </w:p>
    <w:p w14:paraId="7A29C5F6"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Dispositivos conforme a região</w:t>
      </w:r>
    </w:p>
    <w:p w14:paraId="2F9C6AA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 coluna cervical, o espectro inclui colares de suporte leve, colares rígidos e sistemas de imobilização mais abrangentes. Órteses cervicotorácicas acrescentam controle quando um colar cervical isolado é insuficiente.</w:t>
      </w:r>
    </w:p>
    <w:p w14:paraId="1EB52F8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Na coluna toracolombar e lombossacra, diferentes modelos procuram controlar flexão, extensão, inclinação ou rotação. As Figuras 106.10 a 106.12 demonstram exemplos de órteses toracolombares e lombossacras.</w:t>
      </w:r>
    </w:p>
    <w:p w14:paraId="27EC8511"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Trauma e osteoporose</w:t>
      </w:r>
    </w:p>
    <w:p w14:paraId="37B993C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Nas fraturas estáveis, determinadas órteses podem ser empregadas para proteção, conforto e limitação seletiva do movimento. Entretanto, o capítulo também apresenta literatura questionando a necessidade universal de imobilização em determinados padrões de fratura.</w:t>
      </w:r>
    </w:p>
    <w:p w14:paraId="6567E2E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Em fraturas osteoporóticas, a órtese pode auxiliar suporte e controle da dor, devendo ser integrada à reabilitação e ao tratamento da doença de base.</w:t>
      </w:r>
    </w:p>
    <w:p w14:paraId="5D78CA67"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Deformidades</w:t>
      </w:r>
    </w:p>
    <w:p w14:paraId="7DF9AF60"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 escoliose idiopática do adolescente em crescimento, a órtese tem papel no controle da progressão em pacientes selecionados e sua eficácia está fortemente ligada à adesão.</w:t>
      </w:r>
    </w:p>
    <w:p w14:paraId="6EC9ED8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Nas deformidades do adulto, seu papel é predominantemente de suporte e alívio sintomático, não de correção estrutural definitiva.</w:t>
      </w:r>
    </w:p>
    <w:p w14:paraId="53AA7DC1"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Pós-operatório</w:t>
      </w:r>
    </w:p>
    <w:p w14:paraId="4EA73EF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Instrumentações modernas frequentemente proporcionam estabilidade suficiente sem necessidade de órtese externa de rotina. Ainda assim, ela pode ser considerada conforme extensão da cirurgia, osteotomias, qualidade óssea e objetivos de proteção ou conforto.</w:t>
      </w:r>
    </w:p>
    <w:p w14:paraId="01283CA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Assim, a indicação pós-operatória deve ser individualizada, em vez de automática.</w:t>
      </w:r>
    </w:p>
    <w:p w14:paraId="7FAB130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5. Aplicação clínica</w:t>
      </w:r>
    </w:p>
    <w:p w14:paraId="6106D1C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Escolher uma órtese requer definir primeiro o objetivo: proteger uma lesão, restringir determinado movimento, controlar progressão de uma deformidade, proporcionar suporte ou complementar uma reconstrução cirúrgica.</w:t>
      </w:r>
    </w:p>
    <w:p w14:paraId="5DA9E46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dispositivo precisa atuar sobre o segmento adequado. Uma órtese que funciona como lembrete postural é biologicamente diferente de um sistema destinado a restringir intensamente o movimento cervical. Da mesma forma, o benefício de uma órtese toracolombar depende da lesão e da estabilidade do padrão tratado.</w:t>
      </w:r>
    </w:p>
    <w:p w14:paraId="59AC36F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Adesão, tolerância e função também precisam ser avaliadas. Dispositivos desconfortáveis ou excessivamente restritivos podem perder efetividade na vida real e produzir efeitos indesejáveis do imobilismo.</w:t>
      </w:r>
    </w:p>
    <w:p w14:paraId="3EC5324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No pós-operatório, a existência de instrumentação não determina obrigatoriamente o uso do colete. A decisão deve considerar estabilidade obtida, extensão da cirurgia, qualidade óssea e vulnerabilidade da reconstrução.</w:t>
      </w:r>
    </w:p>
    <w:p w14:paraId="2E272031"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6. Mensagem central</w:t>
      </w:r>
    </w:p>
    <w:p w14:paraId="2E0AD37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Órteses são ferramentas biomecânicas, não tratamentos universais. Seu benefício depende de combinar corretamente segmento anatômico, padrão de doença, objetivo terapêutico, grau de imobilização e adesão. A prescrição deve ser individualizada e sustentada pela necessidade clínica, especialmente em um cenário no qual algumas indicações tradicionais permanecem controversas.</w:t>
      </w:r>
    </w:p>
    <w:p w14:paraId="705E4F25"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7. Por que este capítulo importa</w:t>
      </w:r>
    </w:p>
    <w:p w14:paraId="6D0F280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Uma órtese inadequadamente escolhida pode limitar função sem produzir o controle biomecânico desejado. Por outro lado, dispositivos corretamente indicados podem oferecer proteção, suporte e controle de deformidade sem necessidade de intervenção mais invasiva. Conhecer o que cada modelo consegue — e o que não consegue — fazer ajuda a evitar prescrições automáticas e melhora a integração entre tratamento conservador, reabilitação e cirurgia.</w:t>
      </w:r>
    </w:p>
    <w:p w14:paraId="797EF8BE"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8. Descritores</w:t>
      </w:r>
    </w:p>
    <w:p w14:paraId="1719826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DeCS — MeSH:</w:t>
      </w:r>
      <w:r w:rsidRPr="00F77032">
        <w:rPr>
          <w:rFonts w:ascii="Times New Roman" w:eastAsia="Times New Roman" w:hAnsi="Times New Roman" w:cs="Times New Roman"/>
          <w:color w:val="000000"/>
          <w:kern w:val="0"/>
          <w14:ligatures w14:val="none"/>
        </w:rPr>
        <w:t> Aparelhos Ortopédicos — Orthotic Devices; Escoliose — Scoliosis; Fraturas da Coluna Vertebral — Spinal Fractures; Osteoporose — Osteoporosis; Fusão Vertebral — Spinal Fusion; Vértebras Cervicais — Cervical Vertebrae; Vértebras Lombares — Lumbar Vertebrae.</w:t>
      </w:r>
    </w:p>
    <w:p w14:paraId="48AC096C"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9. Cards</w:t>
      </w:r>
    </w:p>
    <w:p w14:paraId="0AF25EF0"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1 — Órtese tem objetivo específico</w:t>
      </w:r>
    </w:p>
    <w:p w14:paraId="0F30C37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dispositivo deve ser selecionado conforme o movimento ou a carga que se deseja controlar. A anatomia cervical, toracolombar e lombossacra é diferente, e uma órtese eficaz em determinado segmento pode oferecer pouca proteção em outro.</w:t>
      </w:r>
    </w:p>
    <w:p w14:paraId="5CC7F231"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2 — Mais rígido não é melhor</w:t>
      </w:r>
    </w:p>
    <w:p w14:paraId="7DA3179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Maior restrição de movimento pode ser necessária em determinadas instabilidades, mas também aumenta desconforto e efeitos do imobilismo. O equilíbrio entre estabilidade e manutenção da função deve orientar a prescrição.</w:t>
      </w:r>
    </w:p>
    <w:p w14:paraId="74CCFB3B"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3 — Pós-operatório não significa colete</w:t>
      </w:r>
    </w:p>
    <w:p w14:paraId="76CEFE8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Instrumentações atuais podem fornecer estabilidade suficiente sem órtese adicional. O uso após cirurgia precisa considerar extensão do procedimento, osteotomias, qualidade óssea e estabilidade obtida, em vez de ser adotado apenas por rotina.</w:t>
      </w:r>
    </w:p>
    <w:p w14:paraId="7E07FAE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10. Referências</w:t>
      </w:r>
    </w:p>
    <w:p w14:paraId="13324D9D"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Anderson DG, Vaccaro AR, Gavin KF, Fromal A. Spinal orthoses. In: Vaccaro AR, Betz RR, Zeidman SM, editors. Principles and practice of spine surgery. St. Louis: Mosby; 2003.</w:t>
      </w:r>
    </w:p>
    <w:p w14:paraId="0BD828BA"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Bailey CS, Dvorak MF, Thomas KC, Boyd MC, Paquett S, Kwon BK, et al. Comparison of thoracolumbosacral orthosis and no orthosis for the treatment of thoracolumbar burst fractures: a multicenter prospective randomized equivalence trial. Spine J. 2009;9(1):79-86.</w:t>
      </w:r>
    </w:p>
    <w:p w14:paraId="7E9F0CE2"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Benzel EC, Larson SJ. Postoperative stabilization of the post traumatic thoracic and lumbar spine: a review of concepts and orthotic techniques. J Spinal Disord. 1989;2(1):47-51.</w:t>
      </w:r>
    </w:p>
    <w:p w14:paraId="36BE257A"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Berdishevsky H, Lebel VA, Bettany-Saltikov J, Rigo M, Aulisa AG, Kotwicki T, et al. Conservative management in adult scoliosis-a systematic review of the literature. Scoliosis Spinal Disord. 2021;16(1):3.</w:t>
      </w:r>
    </w:p>
    <w:p w14:paraId="37B07809"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Braun J, Sieper J. Ankylosing spondylitis. Lancet. 2007;369(9570):1379-90.</w:t>
      </w:r>
    </w:p>
    <w:p w14:paraId="07F9CC63"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Cholewicki J, McGill SM. Mechanical stability of the in vivo lumbar spine: implications for injury and chronic low back pain. Clin Biomech. 1996;11(1):1-15.</w:t>
      </w:r>
    </w:p>
    <w:p w14:paraId="1522A0A6"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Cummings SR, Melton LJ. Epidemiology and outcomes of osteoporotic fractures. Lancet. 2002;359(9319):1761-70.</w:t>
      </w:r>
    </w:p>
    <w:p w14:paraId="6C79B9FF"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Epstein NE. Pros, cons, and costs of cervical bracing following surgery. Surg Neurol Int. 2008;2:62.</w:t>
      </w:r>
    </w:p>
    <w:p w14:paraId="14E16699"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Giele BM, Wiertsema SH, Beelen A, Lucas C, van der Schaaf M. No evidence for the effectiveness of bracing in patients with thoracic and lumbar fractures: a systematic review. Spine J. 2013;13(12):1841-9.</w:t>
      </w:r>
    </w:p>
    <w:p w14:paraId="2629B1E8"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Jones PS, Uustal H. Spinal orthoses: principles, designs, indications, and limitations [Internet]. Columbia: University of Missouri; 2021 [cited year]. Available from: [URL if applicable].</w:t>
      </w:r>
    </w:p>
    <w:p w14:paraId="289ADF35"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Karimi MT, Kamali M, Fatoye F. Evaluation of the efficiency of cervical orthoses on cervical fracture: a review of literature. J Craniovertebr Junction Spine. 2016;7(1):13-9.</w:t>
      </w:r>
    </w:p>
    <w:p w14:paraId="5871CA7F"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Karimi MT, Rabczuk T. Scoliosis conservative treatment: a review of literature. J Craniovertebr Junction Spine. 2018;9(1):3-8.</w:t>
      </w:r>
    </w:p>
    <w:p w14:paraId="2072469A"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Lau D, Chou D, Ziewacz JE, Mummaneni PV. The use of spinal orthoses after lumbar fusion: do they help or hurt? Neurosurgery. 2017;80(2):232-40.</w:t>
      </w:r>
    </w:p>
    <w:p w14:paraId="5B0B3AF7"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McAviney J. A systematic literature review of spinal brace/orthosis treatment for adults with scoliosis between 1967 and 2018: clinical outcomes and harms data. BMC Musculoskelet Disord. 2020;21:1-12.</w:t>
      </w:r>
    </w:p>
    <w:p w14:paraId="58E1F856"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McMaster MJ, Ohtsuka K. The natural history of congenital scoliosis. J Bone Joint Surg Br. 1982;64(4):502-6.</w:t>
      </w:r>
    </w:p>
    <w:p w14:paraId="7000D694"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Moen KY, Nachemson AL. Treatment of scoliosis: an historical perspective. Spine (Phila Pa 1976). 1999;24(24):2570-5.</w:t>
      </w:r>
    </w:p>
    <w:p w14:paraId="6B34D5B6"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Negrini S, Aulisa AG, Aulisa L, et al. 2016 SOSORT guidelines: orthopaedic and rehabilitation treatment of idiopathic scoliosis during growth. Scoliosis Spinal Disord. 2018;13:3.</w:t>
      </w:r>
    </w:p>
    <w:p w14:paraId="64F7A12C"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Newman M, Minns Lowe C, Barker K. Spinal orthoses for vertebral osteoporosis and osteoporotic vertebral fracture: a systematic review. Arch Phys Med Rehabil. 2016;97(6):1013-25.</w:t>
      </w:r>
    </w:p>
    <w:p w14:paraId="0AEF1125"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Pfeifer M, Begerow B, Minne HW. Treatment of painful vertebral fractures with orthoses and exercise. Osteoporos Int. 2004;15(11):924-9. German.</w:t>
      </w:r>
    </w:p>
    <w:p w14:paraId="10716B19"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Pudles E, Defino HLA. A coluna vertebral: conceitos básicos. Porto Alegre: Artmed; 2014.</w:t>
      </w:r>
    </w:p>
    <w:p w14:paraId="6A264977"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Redchenko IA. Use of torso orthoses in the treatment of congenital spinal deformities: a literature review. Pediatr Traumatol Orthop Reconstr Surg. 2021;9(2):235-44.</w:t>
      </w:r>
    </w:p>
    <w:p w14:paraId="59DD3A96"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Richter D. The stabilizing effects of different orthoses in the intact and unstable upper cervical spine: a cadaver study. J Trauma. 2001;50(5):848-54.</w:t>
      </w:r>
    </w:p>
    <w:p w14:paraId="171D7CF6"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Stagnara P, de Mauroy JC, Dran G, et al. Reciprocal angulation of vertebral bodies in a sagittal plane: approach to the etiopathogenesis of kyphosis and lordosis. Spine (Phila Pa 1976). 1982;7(4):335-42.</w:t>
      </w:r>
    </w:p>
    <w:p w14:paraId="614FB57E"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Vaccaro AR, Hulbert RJ, Patel AA, Fisher C, Dvorak M, Lehman RA Jr, et al. The subaxial cervical spine injury classification system: a novel approach to recognize the importance of morphology, neurology, and integrity of the disco-ligamentous complex. Spine (Phila Pa 1976). 2007;32(21):2365-70.</w:t>
      </w:r>
    </w:p>
    <w:p w14:paraId="49F29198"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Vaccaro AR, Lehman RA Jr, Hurlbert RJ, Anderson PA, Harris M, Hedlund R, et al. A new classification of thoracolumbar injuries: the importance of injury morphology, the integrity of the posterior ligamentous complex, and neurologic status. Spine (Phila Pa 1976). 2005;30(20):2325-33.</w:t>
      </w:r>
    </w:p>
    <w:p w14:paraId="79C8407E"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Weinstein SL, Dolan LA, Wright JG, Dobbs MB. Effects of bracing in adolescents with idiopathic scoliosis. N Engl J Med. 2013;369(16):1512-21.</w:t>
      </w:r>
    </w:p>
    <w:p w14:paraId="125F1E88" w14:textId="77777777" w:rsidR="00F77032" w:rsidRPr="00F77032" w:rsidRDefault="00F77032" w:rsidP="00F77032">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Wong MS. Effectiveness and biomechanics of spinal orthoses in the treatment of adolescent idiopathic scoliosis. Prosthet Orthot Int. 2000;24(2):148-62.</w:t>
      </w:r>
    </w:p>
    <w:p w14:paraId="697DA510"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11. Metadados</w:t>
      </w:r>
    </w:p>
    <w:p w14:paraId="1432360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Título SEO:</w:t>
      </w:r>
      <w:r w:rsidRPr="00F77032">
        <w:rPr>
          <w:rFonts w:ascii="Times New Roman" w:eastAsia="Times New Roman" w:hAnsi="Times New Roman" w:cs="Times New Roman"/>
          <w:color w:val="000000"/>
          <w:kern w:val="0"/>
          <w14:ligatures w14:val="none"/>
        </w:rPr>
        <w:t> Uso de órteses na coluna vertebral</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Meta descrição:</w:t>
      </w:r>
      <w:r w:rsidRPr="00F77032">
        <w:rPr>
          <w:rFonts w:ascii="Times New Roman" w:eastAsia="Times New Roman" w:hAnsi="Times New Roman" w:cs="Times New Roman"/>
          <w:color w:val="000000"/>
          <w:kern w:val="0"/>
          <w14:ligatures w14:val="none"/>
        </w:rPr>
        <w:t> Princípios biomecânicos, indicações e limitações das órteses cervicais, toracolombares e lombossacras no tratamento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Resumo de chamada:</w:t>
      </w:r>
      <w:r w:rsidRPr="00F77032">
        <w:rPr>
          <w:rFonts w:ascii="Times New Roman" w:eastAsia="Times New Roman" w:hAnsi="Times New Roman" w:cs="Times New Roman"/>
          <w:color w:val="000000"/>
          <w:kern w:val="0"/>
          <w14:ligatures w14:val="none"/>
        </w:rPr>
        <w:t> Como selecionar órteses conforme região, estabilidade e objetivo terapêutico, considerando evidências, limitações e papel no tratamento conservador e pós-operatório.</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Slug:</w:t>
      </w:r>
      <w:r w:rsidRPr="00F77032">
        <w:rPr>
          <w:rFonts w:ascii="Times New Roman" w:eastAsia="Times New Roman" w:hAnsi="Times New Roman" w:cs="Times New Roman"/>
          <w:color w:val="000000"/>
          <w:kern w:val="0"/>
          <w14:ligatures w14:val="none"/>
        </w:rPr>
        <w:t> </w:t>
      </w:r>
      <w:r w:rsidRPr="00F77032">
        <w:rPr>
          <w:rFonts w:ascii="Courier New" w:eastAsia="Times New Roman" w:hAnsi="Courier New" w:cs="Courier New"/>
          <w:color w:val="000000"/>
          <w:kern w:val="0"/>
          <w:sz w:val="20"/>
          <w:szCs w:val="20"/>
          <w14:ligatures w14:val="none"/>
        </w:rPr>
        <w:t>uso-orteses-coluna</w:t>
      </w:r>
    </w:p>
    <w:p w14:paraId="65503F07" w14:textId="77777777" w:rsidR="00F77032" w:rsidRPr="00F77032" w:rsidRDefault="009C0497" w:rsidP="00F77032">
      <w:pPr>
        <w:spacing w:after="0" w:line="240" w:lineRule="auto"/>
        <w:rPr>
          <w:rFonts w:ascii="Times New Roman" w:eastAsia="Times New Roman" w:hAnsi="Times New Roman" w:cs="Times New Roman"/>
          <w:kern w:val="0"/>
          <w14:ligatures w14:val="none"/>
        </w:rPr>
      </w:pPr>
      <w:r w:rsidRPr="009C0497">
        <w:rPr>
          <w:rFonts w:ascii="Times New Roman" w:eastAsia="Times New Roman" w:hAnsi="Times New Roman" w:cs="Times New Roman"/>
          <w:noProof/>
          <w:kern w:val="0"/>
        </w:rPr>
        <w:pict w14:anchorId="444C630D">
          <v:rect id="_x0000_i1028" style="width:0;height:1.5pt" o:hralign="center" o:hrstd="t" o:hr="t" fillcolor="#a0a0a0" stroked="f"/>
        </w:pict>
      </w:r>
    </w:p>
    <w:p w14:paraId="528ED31F" w14:textId="77777777" w:rsidR="00F77032" w:rsidRPr="00F77032" w:rsidRDefault="00F77032" w:rsidP="00F7703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77032">
        <w:rPr>
          <w:rFonts w:ascii="Times New Roman" w:eastAsia="Times New Roman" w:hAnsi="Times New Roman" w:cs="Times New Roman"/>
          <w:b/>
          <w:bCs/>
          <w:color w:val="000000"/>
          <w:kern w:val="36"/>
          <w:sz w:val="48"/>
          <w:szCs w:val="48"/>
          <w14:ligatures w14:val="none"/>
        </w:rPr>
        <w:t>CAPÍTULO 107 — SEGURANÇA EM CIRURGIA DE COLUNA</w:t>
      </w:r>
    </w:p>
    <w:p w14:paraId="4C463576"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lastRenderedPageBreak/>
        <w:t>1. Identificação</w:t>
      </w:r>
    </w:p>
    <w:p w14:paraId="3C7DCA9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Número:</w:t>
      </w:r>
      <w:r w:rsidRPr="00F77032">
        <w:rPr>
          <w:rFonts w:ascii="Times New Roman" w:eastAsia="Times New Roman" w:hAnsi="Times New Roman" w:cs="Times New Roman"/>
          <w:color w:val="000000"/>
          <w:kern w:val="0"/>
          <w14:ligatures w14:val="none"/>
        </w:rPr>
        <w:t> 107</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Título:</w:t>
      </w:r>
      <w:r w:rsidRPr="00F77032">
        <w:rPr>
          <w:rFonts w:ascii="Times New Roman" w:eastAsia="Times New Roman" w:hAnsi="Times New Roman" w:cs="Times New Roman"/>
          <w:color w:val="000000"/>
          <w:kern w:val="0"/>
          <w14:ligatures w14:val="none"/>
        </w:rPr>
        <w:t> Segurança em Cirurgia de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Seção:</w:t>
      </w:r>
      <w:r w:rsidRPr="00F77032">
        <w:rPr>
          <w:rFonts w:ascii="Times New Roman" w:eastAsia="Times New Roman" w:hAnsi="Times New Roman" w:cs="Times New Roman"/>
          <w:color w:val="000000"/>
          <w:kern w:val="0"/>
          <w14:ligatures w14:val="none"/>
        </w:rPr>
        <w:t> Seção 10 — Temas Complementares</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Autores:</w:t>
      </w:r>
      <w:r w:rsidRPr="00F77032">
        <w:rPr>
          <w:rFonts w:ascii="Times New Roman" w:eastAsia="Times New Roman" w:hAnsi="Times New Roman" w:cs="Times New Roman"/>
          <w:color w:val="000000"/>
          <w:kern w:val="0"/>
          <w14:ligatures w14:val="none"/>
        </w:rPr>
        <w:t> Guilherme Rebechi Zuiani; Marcelo Italo Risso Neto</w:t>
      </w:r>
    </w:p>
    <w:p w14:paraId="40D274E0"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2. Contexto</w:t>
      </w:r>
    </w:p>
    <w:p w14:paraId="64DA83A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Cirurgias da coluna combinam complexidade anatômica, riscos neurológicos, possibilidade de grande perda sanguínea, posicionamentos prolongados e participação de equipes multiprofissionais. Nesse ambiente, segurança não pode depender apenas da habilidade individual do cirurgião. O capítulo utiliza os princípios da segurança do paciente para mostrar que erros humanos são inevitáveis, mas eventos adversos podem ser reduzidos quando o sistema cria barreiras capazes de identificá-los antes que atinjam o paciente. Cultura organizacional, comunicação, checklists, consentimento informado, planejamento, monitorização e análise de incidentes tornam-se partes da própria técnica cirúrgica. A cirurgia em nível incorreto recebe atenção específica por constituir um risco singular da especialidade, especialmente diante de variações anatômicas e dificuldades de localização. O capítulo também aborda sangramento, lesões neurológicas, fatores psicossociais, novas tecnologias e o papel da educação do paciente na construção de um processo assistencial mais seguro.</w:t>
      </w:r>
    </w:p>
    <w:p w14:paraId="2DFA5692"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3. Objetivo</w:t>
      </w:r>
    </w:p>
    <w:p w14:paraId="77D7E6E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Apresentar os fundamentos da segurança do paciente e sua aplicação à cirurgia da coluna. O leitor deverá compreender cultura de segurança, metas internacionais, checklist cirúrgico, prevenção de eventos evitáveis, comunicação em equipe e estratégias específicas para riscos como nível incorreto, hemorragia e lesão neurológica, além do papel do consentimento e da melhoria contínua.</w:t>
      </w:r>
    </w:p>
    <w:p w14:paraId="30C1C07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4. Conteúdo principal</w:t>
      </w:r>
    </w:p>
    <w:p w14:paraId="1400CCC7"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Segurança é propriedade do sistema</w:t>
      </w:r>
    </w:p>
    <w:p w14:paraId="7DBCAF5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evolução da segurança do paciente deslocou a atenção da busca por culpados para a análise dos sistemas nos quais os erros ocorrem. Uma cultura efetiva promove notificação, aprendizado e responsabilidade compartilhada, em vez de simplesmente punir indivíduos.</w:t>
      </w:r>
    </w:p>
    <w:p w14:paraId="4A9F1CD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capítulo relaciona essa visão às metas internacionais de segurança e ao Programa Nacional de Segurança do Paciente.</w:t>
      </w:r>
    </w:p>
    <w:p w14:paraId="5521DFD5"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Checklist e comunicação</w:t>
      </w:r>
    </w:p>
    <w:p w14:paraId="0F94E10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A Lista de Verificação de Cirurgia Segura da Organização Mundial da Saúde cria momentos estruturados para confirmar paciente, procedimento e local, revisar riscos e melhorar comunicação.</w:t>
      </w:r>
    </w:p>
    <w:p w14:paraId="5D89533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Entretanto, o benefício depende de participação real. Executar a lista mecanicamente transforma uma barreira de segurança em formalidade burocrática.</w:t>
      </w:r>
    </w:p>
    <w:p w14:paraId="784A02A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equipe de coluna pode incluir cirurgiões, anestesiologistas, neurofisiologistas, enfermagem e profissionais de apoio. A pausa estruturada cria uma oportunidade para que diferentes membros expressem preocupações antes de uma etapa crítica.</w:t>
      </w:r>
    </w:p>
    <w:p w14:paraId="4A5497CF"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Riscos específicos da coluna</w:t>
      </w:r>
    </w:p>
    <w:p w14:paraId="2A50C3A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Cirurgia em nível incorreto merece mecanismos específicos de prevenção. Variações anatômicas, identificação fluoroscópica difícil e transições vertebrais podem aumentar o risco. Estratégias pré e intraoperatórias de localização são discutidas no capítulo.</w:t>
      </w:r>
    </w:p>
    <w:p w14:paraId="776DD2B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Sangramento, posicionamento e déficit neurológico também exigem planejamento e respostas protocolizadas. Monitorização neurofisiológica pode detectar alterações potencialmente reversíveis, mas o alerta somente é útil se existir uma resposta organizada.</w:t>
      </w:r>
    </w:p>
    <w:p w14:paraId="4B3AF2BB"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Paciente como participante</w:t>
      </w:r>
    </w:p>
    <w:p w14:paraId="2F7EC7D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Consentimento informado não deve ser reduzido à assinatura de um documento. Educação sobre riscos, alternativas, recuperação e incertezas melhora compreensão e participação.</w:t>
      </w:r>
    </w:p>
    <w:p w14:paraId="2DC4C5F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Ansiedade, expectativas e fatores psicológicos também interferem na experiência de segurança e nos resultados percebidos.</w:t>
      </w:r>
    </w:p>
    <w:p w14:paraId="70EB662D"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Tecnologia e melhoria contínua</w:t>
      </w:r>
    </w:p>
    <w:p w14:paraId="11BBB73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Navegação, robótica e ultrassonografia intraoperatória podem aumentar precisão em situações selecionadas. O princípio ALARA orienta a redução da exposição à radiação.</w:t>
      </w:r>
    </w:p>
    <w:p w14:paraId="696FD3C0"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Tecnologia, contudo, não substitui protocolos, treinamento, comunicação e avaliação sistemática dos eventos adversos.</w:t>
      </w:r>
    </w:p>
    <w:p w14:paraId="021B5DBF"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5. Aplicação clínica</w:t>
      </w:r>
    </w:p>
    <w:p w14:paraId="6EE81890"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Um programa de segurança começa antes da entrada no centro cirúrgico. Indicação, planejamento, exames, níveis a serem tratados, risco hemorrágico e estratégia de monitorização devem estar definidos e compartilhados.</w:t>
      </w:r>
    </w:p>
    <w:p w14:paraId="590344A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Na sala, a pausa cirúrgica precisa ser suficientemente aberta para que qualquer integrante possa levantar uma dúvida. Uma cultura hierárquica na qual determinados profissionais não se sintam autorizados a falar neutraliza uma das principais barreiras contra erros evitáveis.</w:t>
      </w:r>
    </w:p>
    <w:p w14:paraId="6D6D7A2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prevenção da cirurgia em nível incorreto merece confirmação deliberada, sobretudo quando a anatomia é atípica ou a visualização é difícil. O mesmo raciocínio se aplica a alertas neurofisiológicos: deve existir um plano conhecido pela equipe antes do evento.</w:t>
      </w:r>
    </w:p>
    <w:p w14:paraId="1BF33E6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Após o procedimento, debriefing, registro de complicações e análise dos dados permitem transformar eventos adversos e quase-erros em aprendizado institucional. A segurança passa, assim, de um checklist isolado para um ciclo contínuo de melhoria.</w:t>
      </w:r>
    </w:p>
    <w:p w14:paraId="5DAE876E"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6. Mensagem central</w:t>
      </w:r>
    </w:p>
    <w:p w14:paraId="0B8E6AC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Segurança em cirurgia da coluna resulta da combinação entre competência técnica e sistemas confiáveis. Checklists, comunicação, planejamento, identificação correta do nível, resposta organizada a eventos críticos e participação do paciente criam barreiras contra erros evitáveis. Uma cultura que aprende com incidentes é mais segura do que uma cultura que simplesmente procura culpados após o dano.</w:t>
      </w:r>
    </w:p>
    <w:p w14:paraId="71A2B8F1"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7. Por que este capítulo importa</w:t>
      </w:r>
    </w:p>
    <w:p w14:paraId="0A9DEA4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Erros de nível, comunicação incompleta, sangramento não antecipado ou atraso diante de um alerta neurológico podem comprometer um procedimento tecnicamente bem executado. Muitas dessas situações são preveníveis por processos relativamente simples, desde que aplicados com atenção real. O capítulo mostra que segurança não é uma etapa adicional à cirurgia: é a maneira pela qual indicação, planejamento, técnica, trabalho em equipe e acompanhamento devem ser organizados.</w:t>
      </w:r>
    </w:p>
    <w:p w14:paraId="6731F292"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8. Descritores</w:t>
      </w:r>
    </w:p>
    <w:p w14:paraId="0233B524"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DeCS — MeSH:</w:t>
      </w:r>
      <w:r w:rsidRPr="00F77032">
        <w:rPr>
          <w:rFonts w:ascii="Times New Roman" w:eastAsia="Times New Roman" w:hAnsi="Times New Roman" w:cs="Times New Roman"/>
          <w:color w:val="000000"/>
          <w:kern w:val="0"/>
          <w14:ligatures w14:val="none"/>
        </w:rPr>
        <w:t> Segurança do Paciente — Patient Safety; Lista de Checagem — Checklist; Erros Médicos — Medical Errors; Consentimento Livre e Esclarecido — Informed Consent; Qualidade da Assistência à Saúde — Quality of Health Care; Cultura Organizacional — Organizational Culture; Relações Interprofissionais — Interprofessional Relations.</w:t>
      </w:r>
    </w:p>
    <w:p w14:paraId="14B8E159"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9. Cards</w:t>
      </w:r>
    </w:p>
    <w:p w14:paraId="13A9E0D0"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1 — Segurança depende de barreiras</w:t>
      </w:r>
    </w:p>
    <w:p w14:paraId="77224EF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Profissionais experientes também podem errar. Sistemas seguros criam verificações independentes para evitar que uma única falha alcance o paciente. Identificação, checklist, confirmação de nível e comunicação estruturada são exemplos de barreiras que reduzem vulnerabilidade.</w:t>
      </w:r>
    </w:p>
    <w:p w14:paraId="7A3D78C1"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lastRenderedPageBreak/>
        <w:t>Card 2 — Checklist exige participação</w:t>
      </w:r>
    </w:p>
    <w:p w14:paraId="234E888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Ler itens automaticamente não equivale a executar uma pausa de segurança. O valor do checklist está em interromper o fluxo, compartilhar riscos e permitir que qualquer integrante da equipe identifique uma inconsistência antes que ela produza dano.</w:t>
      </w:r>
    </w:p>
    <w:p w14:paraId="16D7E1EF"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3 — Confirme o nível deliberadamente</w:t>
      </w:r>
    </w:p>
    <w:p w14:paraId="7303473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cirurgia em nível incorreto é uma complicação particularmente relevante na coluna. Variações anatômicas e dificuldade de localização exigem planejamento e confirmação sistemática, em vez de confiança exclusiva em referências anatômicas presumidas.</w:t>
      </w:r>
    </w:p>
    <w:p w14:paraId="5FD00E6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10. Referências</w:t>
      </w:r>
    </w:p>
    <w:p w14:paraId="4BC658C5"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Chantler C. The role and education of doctors in the delivery of healthcare. Lancet. 1999;353:1178-81.</w:t>
      </w:r>
    </w:p>
    <w:p w14:paraId="134849FF"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Kohn LT, Corrigan JM, Donaldson MS, McKay T, Pike KC. To err is human. Washington, DC: National Academy Press; 2000.</w:t>
      </w:r>
    </w:p>
    <w:p w14:paraId="574B799A"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Brennan TA, Hebert L, Lair NM, Lawthers AG, Thorpe KE, Leape LL, et al. Hospital characteristics associated with adverse events and substandard care. JAMA. 1991;265:3265-9.</w:t>
      </w:r>
    </w:p>
    <w:p w14:paraId="0584EB1B"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Gawande AA, Thomas EJ, Zinner MJ, Brennan TA. The incidence and nature of surgical adverse events in Colorado and Utah in 1992. Surgery. 1999;126:66-75.</w:t>
      </w:r>
    </w:p>
    <w:p w14:paraId="573C1C56"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De Vries EM, Ramrattan MA, Smorenburg SM, Gouma DJ, Boermeester MA. The incidence and nature of in-hospital adverse events: a systematic review. Qual Saf Health Care. 2008;17:216-23.</w:t>
      </w:r>
    </w:p>
    <w:p w14:paraId="3817EB8E"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Corrigan JM, Kohn LT, Donaldson MS, Maguire SK, Pike KC. Crossing the quality chasm: a new health system for the 21st century. Washington, DC: National Academy Press; 2001.</w:t>
      </w:r>
    </w:p>
    <w:p w14:paraId="08B47809"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World Health Organization. World Alliance for Patient Safety: forward programme. Geneva; 2005.</w:t>
      </w:r>
    </w:p>
    <w:p w14:paraId="0E6DB5C2"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Agência Nacional de Vigilância Sanitária. Boletins Informativo-Segurança do paciente e qualidade em serviços de saúde. 2013.</w:t>
      </w:r>
    </w:p>
    <w:p w14:paraId="21E287B4"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Proqualis/Icict/Fiocruz. Centro colaborador para a qualidade do cuidado e a segurança do paciente.</w:t>
      </w:r>
    </w:p>
    <w:p w14:paraId="0A7CCF06"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World Health Organization. World Alliance for Patient Safety, Taxonomy: The Conceptual Framework for the International Classification for Patient Safety: final technical report. Geneva; 2009.</w:t>
      </w:r>
    </w:p>
    <w:p w14:paraId="711EC95B"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Ministério da Saúde; Fundação Oswaldo Cruz; Agência Nacional de Vigilância Sanitária. Documento de referência para o Programa Nacional de Segurança do Paciente. Brasília: Ministério da Saúde; 2014.</w:t>
      </w:r>
    </w:p>
    <w:p w14:paraId="451FA065"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Reason J. Human error: models and management. BMJ. 2000;320:768-70.</w:t>
      </w:r>
    </w:p>
    <w:p w14:paraId="69591197"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World Health Organization. World Alliance for Patient Safety, Taxonomy: The Conceptual Framework for the International Classification for Patient Safety: final technical report. Geneva; 2009.</w:t>
      </w:r>
    </w:p>
    <w:p w14:paraId="1904B1F6"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Ministério da Saúde. Portaria MS/GM n. 529, de 1 de abril de 2013.</w:t>
      </w:r>
    </w:p>
    <w:p w14:paraId="642BF79E"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Debas HT, Gosselin R, McCord C, Thind A. Surgery. In: Jamison DT, Breman JG, Measham AR, et al., editors. Disease control priorities in developing countries. 2nd ed. Washington, DC: International Bank for Reconstruction and Development/World Bank; 2006. p. 1245-60.</w:t>
      </w:r>
    </w:p>
    <w:p w14:paraId="05C74CA8"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World Health Organization. The WHO guidelines for safe surgery. WHO/IER/PSP/2008.08-1E.</w:t>
      </w:r>
    </w:p>
    <w:p w14:paraId="49D47DDB"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Haynes AB. A surgical safety checklist to reduce morbidity and mortality in a global population. N Engl J Med. 2009;360:491-9.</w:t>
      </w:r>
    </w:p>
    <w:p w14:paraId="77ED1691"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Munigangaiah S, Davies-Jones GR. The relevance of World Health Organization Surgical Safety Checklist to spinal surgery. Med Res Arch. 2024;12(2).</w:t>
      </w:r>
    </w:p>
    <w:p w14:paraId="5D87BAF9"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Borchard A, Schwappach DL, Barbir A, Bezzola P. A systematic review of the effectiveness, compliance, and critical factors for implementation of safety checklists in surgery. Ann Surg. 2012;256(6):925-33.</w:t>
      </w:r>
    </w:p>
    <w:p w14:paraId="3B1CDDDD"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Hales BM, Pronovost PJ. The checklist-a tool for error management and performance improvement. J Crit Care. 2006;21(3):231-5.</w:t>
      </w:r>
    </w:p>
    <w:p w14:paraId="5D784757"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Conley DM, Singer SJ, Edmondson L, Berry WR, Gawande AA. Effective surgical safety checklist implementation. J Am Coll Surg. 2011;212(5):873-9.</w:t>
      </w:r>
    </w:p>
    <w:p w14:paraId="6A55CF8F"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Jiang F, Wilson JR, Badhiwala JH, Santaguida C, Weber MH, Wilson JR, et al. Quality and safety improvement in spine surgery. Global Spine J. 2020;10(1 Suppl):17S-28S.</w:t>
      </w:r>
    </w:p>
    <w:p w14:paraId="7908A3EC"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Arjmandnia F, Alimohammadi E. The value of machine learning technology and artificial intelligence to enhance patient safety in spine surgery: a review. Patient Saf Surg. 2024;18(1):11.</w:t>
      </w:r>
    </w:p>
    <w:p w14:paraId="5B85820E"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Ambas J. Healthcare quality improvement strategies: a meta-analysis of their impact on patient safety and satisfaction. Med Stud Health J (SEHAT). 2024;1(2):175-86.</w:t>
      </w:r>
    </w:p>
    <w:p w14:paraId="2BDB2D87"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Garg B, Mehta N, Bansal T, Shekhar S, Khanna P, Baidya DK. Design and implementation of an enhanced recovery after surgery protocol in elective lumbar spine fusion by posterior approach: a retrospective, comparative study. Spine. 2021;46(12):E679-87.</w:t>
      </w:r>
    </w:p>
    <w:p w14:paraId="126E50BD"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Sivaganesan A, Khan I, Pennings JS, Roth SG, Nolan ER, Oleisky ER, et al. Why are patients dissatisfied after spine surgery when improvements in disability and pain are clinically meaningful? Spine J. 2020;20(10):1535-43.</w:t>
      </w:r>
    </w:p>
    <w:p w14:paraId="2D1C1B15"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Kobayashi K, Ando K, Nishida Y, Ishiguro N, Imagama S. Epidemiological trends in spine surgery over 10 years in a multicenter database. Eur Spine J. 2018;27:1698-703.</w:t>
      </w:r>
    </w:p>
    <w:p w14:paraId="2A47C5DA"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Cortesi PA, Assietti R, Cuzzocrea F, et al. Epidemiologic and economic burden attributable to first spinal fusion surgery: analysis from an Italian Administrative Database. Spine. 2017;42:1398-404.</w:t>
      </w:r>
    </w:p>
    <w:p w14:paraId="1E7E1224"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Thirukumaran CP, Raudenbush B, Li Y, Molinari R, Rubery P, Mesfin A. National trends in the surgical management of adult lumbar isthmic spondylolisthesis: 1998 to 2011. Spine. 2016;41:490-501.</w:t>
      </w:r>
    </w:p>
    <w:p w14:paraId="658AAFAA"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Baradaran K, Gracia C, Alimohammadi E. Exploring strategies to enhance patient safety in spine surgery: a review. Patient Saf Surg. 2025;19(1):3.</w:t>
      </w:r>
    </w:p>
    <w:p w14:paraId="1481FCA1"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Fudickar A, Hörle K, Wiltfang J, Bein B. The effect of the WHO Surgical Safety Checklist on complication rate and communication. Dtsch Arztebl Int. 2012;109(42):695.</w:t>
      </w:r>
    </w:p>
    <w:p w14:paraId="59C5673B"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Cabral RA, Eggenberger T, Keller K, Gallison BS, Newman D. Use of a surgical safety checklist to improve team communication. AORN J. 2016;104(3):206-16.</w:t>
      </w:r>
    </w:p>
    <w:p w14:paraId="05162BDD"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Brodano GB, Griffoni C, Ricci A, Giannone S, Ghisi DF, Gasbarrini A. Adverse events capture systems, checklists and teamwork as relevant tools to reduce complications and increase patients' safety in spinal surgery. In: Teamwork in Healthcare. IntechOpen; 2020.</w:t>
      </w:r>
    </w:p>
    <w:p w14:paraId="3E9D6034"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Panesar SS, Noble DJ, Mirza SB, Patel B, Mann B, Emerton M, et al. Can the surgical checklist reduce the risk of wrong site surgery in orthopaedics? Supporting evidence from analysis of a national patient incident reporting system. J Orthop Surg. 2011;6:1-7.</w:t>
      </w:r>
    </w:p>
    <w:p w14:paraId="36807718"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Weaver SJ, Lubomksi LH, Wilson RF, Pfoh ER, Martinez KA, Dy SM. Promoting a culture of safety as a patient safety strategy: a systematic review. Ann Intern Med. 2013;158(5 Pt 2):369-74.</w:t>
      </w:r>
    </w:p>
    <w:p w14:paraId="7965A324"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Tubic B, Finizia C, Zainal Kamil A, Larsson P, Engström M. Patients' experience of patient safety information and participation in care during a hospital stay. Nurs Open. 2023;10(3):1684-92.</w:t>
      </w:r>
    </w:p>
    <w:p w14:paraId="4B308A99"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Rose MR, Rose KM. Use of a surgical debriefing checklist to achieve higher value health care. Am J Med Qual. 2018;33(5):514-22.</w:t>
      </w:r>
    </w:p>
    <w:p w14:paraId="2041E66D"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Liu B, Liu S, Wang B, Liu W, Chen L, Zheng T, et al. Effectiveness and safety of implementing an enhanced patient comfort programme for elective neurosurgical patients: a randomised controlled trial protocol. BMJ Open. 2023;13(4):e063534.</w:t>
      </w:r>
    </w:p>
    <w:p w14:paraId="1B31AB15"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Russ S, Rout S, Sevdalis N, Moorthy K, Darzi A, Vincent C. Do safety checklists improve teamwork and communication in the operating room? A systematic review. Ann Surg. 2013;258(6):856-71.</w:t>
      </w:r>
    </w:p>
    <w:p w14:paraId="5B7D030B"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Seicean A. The effect of blood transfusion on short-term, perioperative outcomes in elective spine surgery. J Clin Neurosci. 2014;21(9):1579-85.</w:t>
      </w:r>
    </w:p>
    <w:p w14:paraId="65EAA299"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Boniello AJ. Pre-operative autologous blood donation does not affect pre-incision hematocrit in adolescent idiopathic scoliosis patients. Int J Spine Surg. 2016;10.</w:t>
      </w:r>
    </w:p>
    <w:p w14:paraId="756CAD1B"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Sethi RK. The Seattle Spine Team approach to adult deformity surgery: a systems-based approach to perioperative care and subsequent reduction in perioperative complication rates. Spine Deform. 2014;2(2):95-103.</w:t>
      </w:r>
    </w:p>
    <w:p w14:paraId="6539E9BB"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Park CK. The effect of patient positioning on intraabdominal pressure and blood loss in spinal surgery. Anesth Analg. 2000;91(3):552-7.</w:t>
      </w:r>
    </w:p>
    <w:p w14:paraId="79C88D9C"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Rajagopalan S. The effects of mild perioperative hypothermia on blood loss and transfusion requirement. Database of Abstracts of Reviews of Effects. 2008.</w:t>
      </w:r>
    </w:p>
    <w:p w14:paraId="1DEDA258"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Epstein N. Impact of intraoperative normovolemic hemodilution on transfusion requirements for 68 patients undergoing lumbar laminectomies with instrumented posterolateral fusion. Spine. 2006;31(19):2227-30.</w:t>
      </w:r>
    </w:p>
    <w:p w14:paraId="4079C96F"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Walid MS. The role of drains in lumbar spine fusion. World Neurosurg. 2012;77(3-4):564-8.</w:t>
      </w:r>
    </w:p>
    <w:p w14:paraId="1B317B65"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Hamilton DK, Smith JS, Sansur CA, et al. Rates of new neurological deficit associated with spine surgery based on 108,419 procedures. Spine. 2011;36(15):1218-28.</w:t>
      </w:r>
    </w:p>
    <w:p w14:paraId="5457A3E3"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Vitale MG, Skaggs DL, Pace GI, et al. Best practices in intraoperative neuromonitoring in spine deformity surgery: development of an intraoperative checklist to optimize response. Spine Deform. 2014;2(5):333-9.</w:t>
      </w:r>
    </w:p>
    <w:p w14:paraId="41371F45"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Schoenfeld AJ, Ochoa LM, Bader JO, Belmont PJ Jr. Risk factors for immediate postoperative complications and mortality following spine surgery. J Bone Joint Surg Am. 2011;93(17):1577-82.</w:t>
      </w:r>
    </w:p>
    <w:p w14:paraId="7AB771CE"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Godil SS, Parker SL, Zuckerman SL, Mendenhall SK, Devin CJ, Asher AL, et al. Determining the quality and effectiveness of surgical spine care: patient satisfaction is not a valid proxy. Spine J. 2013;13(9):1006-12.</w:t>
      </w:r>
    </w:p>
    <w:p w14:paraId="6A95E092"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Manchikanti L, Helm S II, Fellows B, et al. Opioid epidemic in the United States. Pain Physician. 2012;15(3 Suppl):ES9-ES38.</w:t>
      </w:r>
    </w:p>
    <w:p w14:paraId="12D54118"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Bark P. Psychological aspects of patient safety. Routledge; 2011.</w:t>
      </w:r>
    </w:p>
    <w:p w14:paraId="1A2EF975"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Øvretveit J. Understanding and improving patient safety: the psychological, social and cultural dimensions. J Health Organ Manag. 2009;23(6):581-96.</w:t>
      </w:r>
    </w:p>
    <w:p w14:paraId="1724B8C6"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Caumo W, Schmidt AP, Schneider CN, Bergmann J, Iwamoto C, Bandeira D, et al. Risk factors for preoperative anxiety in adults. Acta Anaesthesiol Scand. 2001;45(3):298-307.</w:t>
      </w:r>
    </w:p>
    <w:p w14:paraId="76D15167"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Zemła A, Nowicka-Sauer K, Jarmoszewicz K, Wera K, Batkiewicz S, Pietrzykowska M. Measures of preoperative anxiety. Anaesthesiol Intensive Ther. 2019;51(1):66-72.</w:t>
      </w:r>
    </w:p>
    <w:p w14:paraId="572CD593"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Suter E, Arndt J, Arthur N, Parboosingh J, Taylor E, Deutschlander S. Role understanding and effective communication as core competencies for collaborative practice. J Interprof Care. 2009;23(1):41-5.</w:t>
      </w:r>
    </w:p>
    <w:p w14:paraId="6E0A5DAA"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Nasiri M, Kheirkhah F, Rahimiyan B, Ahmadzadeh B, Hasannejad H, Mohamad JR. Stressful factors, coping mechanisms and quality of life in hemodialysis patients. Iran J Crit Care Nurs. 2013;6(2):119-26.</w:t>
      </w:r>
    </w:p>
    <w:p w14:paraId="1EB826DD"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Hsiang J. Wrong-level surgery: a unique problem in spine surgery. Surg Neurol Int. 2011;2:47.</w:t>
      </w:r>
    </w:p>
    <w:p w14:paraId="19B7B98A"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Irace C, Usai S. The nightmare of wrong level in spine surgery: a critical appraisal. Patient Saf Surg. 2012;6:1-3.</w:t>
      </w:r>
    </w:p>
    <w:p w14:paraId="3855A106"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Lindley EM, Botolin S, Burger EL, Patel VV. Unusual spine anatomy contributing to wrong level spine surgery. Patient Saf Surg. 2011;5:1-7.</w:t>
      </w:r>
    </w:p>
    <w:p w14:paraId="480F3E5E"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Binning MJ, Schmidt MH. Percutaneous placement of radiopaque markers at the pedicle of interest for preoperative localization of thoracic spine level. Spine. 2010;35(19):1821-5.</w:t>
      </w:r>
    </w:p>
    <w:p w14:paraId="0BD8782A"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Madaelil TP. Preoperative fiducial marker placement in the thoracic spine: a technical report. Spine. 2017;42(10):E624-E628.</w:t>
      </w:r>
    </w:p>
    <w:p w14:paraId="0A8698D6"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Naqvi AZ, Magill H, Anjarwalla N. Intraoperative practices to prevent wrong-level spine surgery: a survey among 105 spine surgeons in the United Kingdom. Patient Saf Surg. 2022;16(1):6.</w:t>
      </w:r>
    </w:p>
    <w:p w14:paraId="68A1F858"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Lopukhov EO, Frolov IA, Solovyev MA, Prokhorenko LS, Mishchenkov DS, Klimov DD, et al. Computer-guided navigation system efficiency evaluation using surgical instruments for spinal fusion. Int J Med Robot. 2024;20(6):e70033.</w:t>
      </w:r>
    </w:p>
    <w:p w14:paraId="28C1476C"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Vasudeva VS. Use of intraoperative ultrasound during spinal surgery. Global Spine J. 2017;7(7):648-56.</w:t>
      </w:r>
    </w:p>
    <w:p w14:paraId="19DDD2F4"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Huang M, Tetreault TA, Vaishnav A, York PJ, Staub BN. The current state of navigation in robotic spine surgery. Ann Transl Med. 2021;9(1).</w:t>
      </w:r>
    </w:p>
    <w:p w14:paraId="6DF29083"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Cawley D, Dhokia R, Sales J, Darwish N, Molloy S. Ten techniques for improving navigated spinal surgery. Bone Joint J. 2020;102(3):371-5.</w:t>
      </w:r>
    </w:p>
    <w:p w14:paraId="0D9EE26F"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Kaplan DJ, Patel JN, Liporace FA, Yoon RS. Intraoperative radiation safety in orthopaedics: a review of the ALARA principle. Patient Saf Surg. 2016;10:1-7.</w:t>
      </w:r>
    </w:p>
    <w:p w14:paraId="236184EF" w14:textId="77777777" w:rsidR="00F77032" w:rsidRPr="00F77032" w:rsidRDefault="00F77032" w:rsidP="00F77032">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Rajiv S, Bohl M, Vitale M. Tate-of-the-art reviews: safety in complex spine surgery. Spine Deform. 2019;7(5):657-68.</w:t>
      </w:r>
    </w:p>
    <w:p w14:paraId="716352FF"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lastRenderedPageBreak/>
        <w:t>11. Metadados</w:t>
      </w:r>
    </w:p>
    <w:p w14:paraId="0A73EBD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Título SEO:</w:t>
      </w:r>
      <w:r w:rsidRPr="00F77032">
        <w:rPr>
          <w:rFonts w:ascii="Times New Roman" w:eastAsia="Times New Roman" w:hAnsi="Times New Roman" w:cs="Times New Roman"/>
          <w:color w:val="000000"/>
          <w:kern w:val="0"/>
          <w14:ligatures w14:val="none"/>
        </w:rPr>
        <w:t> Segurança em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Meta descrição:</w:t>
      </w:r>
      <w:r w:rsidRPr="00F77032">
        <w:rPr>
          <w:rFonts w:ascii="Times New Roman" w:eastAsia="Times New Roman" w:hAnsi="Times New Roman" w:cs="Times New Roman"/>
          <w:color w:val="000000"/>
          <w:kern w:val="0"/>
          <w14:ligatures w14:val="none"/>
        </w:rPr>
        <w:t> Cultura de segurança, checklist, comunicação, prevenção de cirurgia em nível incorreto e gestão de riscos específicos da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Resumo de chamada:</w:t>
      </w:r>
      <w:r w:rsidRPr="00F77032">
        <w:rPr>
          <w:rFonts w:ascii="Times New Roman" w:eastAsia="Times New Roman" w:hAnsi="Times New Roman" w:cs="Times New Roman"/>
          <w:color w:val="000000"/>
          <w:kern w:val="0"/>
          <w14:ligatures w14:val="none"/>
        </w:rPr>
        <w:t> Princípios sistêmicos para reduzir eventos evitáveis em cirurgia da coluna, integrando planejamento, comunicação, checklist, tecnologia e participação do paciente.</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Slug:</w:t>
      </w:r>
      <w:r w:rsidRPr="00F77032">
        <w:rPr>
          <w:rFonts w:ascii="Times New Roman" w:eastAsia="Times New Roman" w:hAnsi="Times New Roman" w:cs="Times New Roman"/>
          <w:color w:val="000000"/>
          <w:kern w:val="0"/>
          <w14:ligatures w14:val="none"/>
        </w:rPr>
        <w:t> </w:t>
      </w:r>
      <w:r w:rsidRPr="00F77032">
        <w:rPr>
          <w:rFonts w:ascii="Courier New" w:eastAsia="Times New Roman" w:hAnsi="Courier New" w:cs="Courier New"/>
          <w:color w:val="000000"/>
          <w:kern w:val="0"/>
          <w:sz w:val="20"/>
          <w:szCs w:val="20"/>
          <w14:ligatures w14:val="none"/>
        </w:rPr>
        <w:t>seguranca-cirurgia-coluna</w:t>
      </w:r>
    </w:p>
    <w:p w14:paraId="1C2C2E11" w14:textId="77777777" w:rsidR="00F77032" w:rsidRPr="00F77032" w:rsidRDefault="009C0497" w:rsidP="00F77032">
      <w:pPr>
        <w:spacing w:after="0" w:line="240" w:lineRule="auto"/>
        <w:rPr>
          <w:rFonts w:ascii="Times New Roman" w:eastAsia="Times New Roman" w:hAnsi="Times New Roman" w:cs="Times New Roman"/>
          <w:kern w:val="0"/>
          <w14:ligatures w14:val="none"/>
        </w:rPr>
      </w:pPr>
      <w:r w:rsidRPr="009C0497">
        <w:rPr>
          <w:rFonts w:ascii="Times New Roman" w:eastAsia="Times New Roman" w:hAnsi="Times New Roman" w:cs="Times New Roman"/>
          <w:noProof/>
          <w:kern w:val="0"/>
        </w:rPr>
        <w:pict w14:anchorId="71C6445F">
          <v:rect id="_x0000_i1027" style="width:0;height:1.5pt" o:hralign="center" o:hrstd="t" o:hr="t" fillcolor="#a0a0a0" stroked="f"/>
        </w:pict>
      </w:r>
    </w:p>
    <w:p w14:paraId="65EFFF2A" w14:textId="77777777" w:rsidR="00F77032" w:rsidRPr="00F77032" w:rsidRDefault="00F77032" w:rsidP="00F7703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77032">
        <w:rPr>
          <w:rFonts w:ascii="Times New Roman" w:eastAsia="Times New Roman" w:hAnsi="Times New Roman" w:cs="Times New Roman"/>
          <w:b/>
          <w:bCs/>
          <w:color w:val="000000"/>
          <w:kern w:val="36"/>
          <w:sz w:val="48"/>
          <w:szCs w:val="48"/>
          <w14:ligatures w14:val="none"/>
        </w:rPr>
        <w:t>CAPÍTULO 108 — MANEJO DO PACIENTE FRÁGIL COM SARCOPENIA EM CIRURGIA DE COLUNA</w:t>
      </w:r>
    </w:p>
    <w:p w14:paraId="431CE8EA"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 Identificação</w:t>
      </w:r>
    </w:p>
    <w:p w14:paraId="4720401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Número:</w:t>
      </w:r>
      <w:r w:rsidRPr="00F77032">
        <w:rPr>
          <w:rFonts w:ascii="Times New Roman" w:eastAsia="Times New Roman" w:hAnsi="Times New Roman" w:cs="Times New Roman"/>
          <w:color w:val="000000"/>
          <w:kern w:val="0"/>
          <w14:ligatures w14:val="none"/>
        </w:rPr>
        <w:t> 108</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Título:</w:t>
      </w:r>
      <w:r w:rsidRPr="00F77032">
        <w:rPr>
          <w:rFonts w:ascii="Times New Roman" w:eastAsia="Times New Roman" w:hAnsi="Times New Roman" w:cs="Times New Roman"/>
          <w:color w:val="000000"/>
          <w:kern w:val="0"/>
          <w14:ligatures w14:val="none"/>
        </w:rPr>
        <w:t> Manejo do Paciente Frágil com Sarcopenia em Cirurgia de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Seção:</w:t>
      </w:r>
      <w:r w:rsidRPr="00F77032">
        <w:rPr>
          <w:rFonts w:ascii="Times New Roman" w:eastAsia="Times New Roman" w:hAnsi="Times New Roman" w:cs="Times New Roman"/>
          <w:color w:val="000000"/>
          <w:kern w:val="0"/>
          <w14:ligatures w14:val="none"/>
        </w:rPr>
        <w:t> Seção 10 — Temas Complementares</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Autores:</w:t>
      </w:r>
      <w:r w:rsidRPr="00F77032">
        <w:rPr>
          <w:rFonts w:ascii="Times New Roman" w:eastAsia="Times New Roman" w:hAnsi="Times New Roman" w:cs="Times New Roman"/>
          <w:color w:val="000000"/>
          <w:kern w:val="0"/>
          <w14:ligatures w14:val="none"/>
        </w:rPr>
        <w:t> Clineu de Mello Almada Filho; René Kusabara</w:t>
      </w:r>
    </w:p>
    <w:p w14:paraId="3B48499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2. Contexto</w:t>
      </w:r>
    </w:p>
    <w:p w14:paraId="5F3CE4E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envelhecimento é heterogêneo, e idade cronológica isoladamente não representa a reserva fisiológica de um paciente candidato à cirurgia da coluna. Fragilidade descreve maior vulnerabilidade a estressores decorrente da redução da reserva funcional, enquanto sarcopenia envolve perda de força, massa ou qualidade muscular e desempenho físico. As duas condições se sobrepõem, mas não são equivalentes. A combinação com perda de massa óssea amplia o problema e constitui a osteossarcopenia. Em cirurgia da coluna, essas características estão associadas, em estudos observacionais discutidos no capítulo, a maior frequência de complicações, permanência hospitalar, transfusões, eventos tromboembólicos, reoperações e mortalidade. O desafio é reconhecer esses pacientes antes da operação. Ferramentas simples de rastreamento, associadas a métodos objetivos para força, composição corporal e desempenho, permitem substituir a impressão subjetiva por uma avaliação estruturada e integrar o risco biológico ao planejamento cirúrgico.</w:t>
      </w:r>
    </w:p>
    <w:p w14:paraId="3E2635BA"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3. Objetivo</w:t>
      </w:r>
    </w:p>
    <w:p w14:paraId="5AE8092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 xml:space="preserve">Diferenciar envelhecimento, fragilidade e sarcopenia; apresentar instrumentos clínicos de rastreamento e métodos de avaliação de força, massa muscular e desempenho; e explicar seu </w:t>
      </w:r>
      <w:r w:rsidRPr="00F77032">
        <w:rPr>
          <w:rFonts w:ascii="Times New Roman" w:eastAsia="Times New Roman" w:hAnsi="Times New Roman" w:cs="Times New Roman"/>
          <w:color w:val="000000"/>
          <w:kern w:val="0"/>
          <w14:ligatures w14:val="none"/>
        </w:rPr>
        <w:lastRenderedPageBreak/>
        <w:t>significado prognóstico na cirurgia da coluna. O capítulo busca incorporar essas informações ao planejamento perioperatório e a uma abordagem multidisciplinar do paciente idoso.</w:t>
      </w:r>
    </w:p>
    <w:p w14:paraId="12B4A658"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4. Conteúdo principal</w:t>
      </w:r>
    </w:p>
    <w:p w14:paraId="375E2AC7"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Fragilidade não é idade</w:t>
      </w:r>
    </w:p>
    <w:p w14:paraId="329BDF9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Pacientes da mesma idade podem ter reservas funcionais muito diferentes. O fenótipo de Fried e a Frail Scale são apresentados como ferramentas clínicas capazes de estruturar a avaliação da fragilidade.</w:t>
      </w:r>
    </w:p>
    <w:p w14:paraId="20DDB91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Pacientes frágeis e pré-frágeis apresentam maior vulnerabilidade diante do estresse cirúrgico e necessitam avaliação direcionada.</w:t>
      </w:r>
    </w:p>
    <w:p w14:paraId="751360C7"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Sarcopenia: força, massa e função</w:t>
      </w:r>
    </w:p>
    <w:p w14:paraId="0374AAE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European Working Group on Sarcopenia in Older People (EWGSOP2) organiza o diagnóstico a partir de força muscular, massa ou qualidade muscular e desempenho físico.</w:t>
      </w:r>
    </w:p>
    <w:p w14:paraId="2DCE30D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força pode ser avaliada por dinamometria de preensão; massa e qualidade muscular podem ser estimadas por densitometria, bioimpedância e métodos de imagem; e desempenho pode ser mensurado por testes de marcha e baterias funcionais.</w:t>
      </w:r>
    </w:p>
    <w:p w14:paraId="5A35AEA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capítulo também chama atenção para a obesidade sarcopênica: aparência corporal ou índice de massa corporal isolado podem mascarar baixa reserva muscular.</w:t>
      </w:r>
    </w:p>
    <w:p w14:paraId="58794B9A"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Osteossarcopenia</w:t>
      </w:r>
    </w:p>
    <w:p w14:paraId="4056291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coexistência de sarcopenia e baixa densidade mineral óssea produz um fenótipo particularmente vulnerável a quedas, fraturas, incapacidade e eventos adversos.</w:t>
      </w:r>
    </w:p>
    <w:p w14:paraId="4474130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Para o cirurgião da coluna, isso conecta diretamente capacidade funcional, biologia óssea e risco mecânico.</w:t>
      </w:r>
    </w:p>
    <w:p w14:paraId="340AD70C"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Impacto cirúrgico</w:t>
      </w:r>
    </w:p>
    <w:p w14:paraId="1EE8C99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Fragilidade e sarcopenia são apresentadas como marcadores prognósticos independentes em pacientes submetidos a cirurgia da coluna. A avaliação pré-operatória precisa, portanto, ir além das características radiográficas e da correção anatômica planejada.</w:t>
      </w:r>
    </w:p>
    <w:p w14:paraId="638A84B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capítulo favorece uma visão multidimensional envolvendo estado funcional, força e massa muscular, densidade óssea, risco inflamatório e suporte social.</w:t>
      </w:r>
    </w:p>
    <w:p w14:paraId="541238AC"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Manejo integrado</w:t>
      </w:r>
    </w:p>
    <w:p w14:paraId="5A14F04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A condução ideal envolve cirurgia de coluna, geriatria, anestesia, fisioterapia e nutrição. O objetivo é adaptar indicação, magnitude do procedimento, preparação e reabilitação à reserva real do paciente.</w:t>
      </w:r>
    </w:p>
    <w:p w14:paraId="7053C7A9"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5. Aplicação clínica</w:t>
      </w:r>
    </w:p>
    <w:p w14:paraId="591F8AB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Em um paciente idoso candidato a cirurgia, perguntar apenas sobre comorbidades e capacidade de caminhar pode ser insuficiente. Um indivíduo aparentemente independente pode apresentar fragilidade ou sarcopenia não reconhecidas.</w:t>
      </w:r>
    </w:p>
    <w:p w14:paraId="2A1A678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Ferramentas clínicas estruturadas identificam quem precisa de avaliação mais profunda. Quando existe baixa força muscular, o capítulo orienta a investigação de massa ou qualidade muscular e desempenho físico. A densidade óssea também deve ser integrada, sobretudo quando há suspeita de osteossarcopenia.</w:t>
      </w:r>
    </w:p>
    <w:p w14:paraId="52026AF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Essas informações não funcionam apenas como um “escore de risco”. Elas ajudam a calibrar a magnitude da cirurgia, a intensidade da otimização pré-operatória, o suporte necessário e as expectativas de recuperação.</w:t>
      </w:r>
    </w:p>
    <w:p w14:paraId="41CED6D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discussão com paciente e família deve incorporar reserva funcional e risco global. O objetivo deixa de ser somente corrigir uma imagem e passa a considerar a probabilidade de o organismo tolerar o procedimento e transformar a correção anatômica em ganho funcional.</w:t>
      </w:r>
    </w:p>
    <w:p w14:paraId="371567D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6. Mensagem central</w:t>
      </w:r>
    </w:p>
    <w:p w14:paraId="4B3CE27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Fragilidade e sarcopenia descrevem aspectos da reserva fisiológica que não podem ser inferidos apenas pela idade. Reconhecê-las antes da cirurgia melhora a estratificação de risco e permite planejar de forma mais realista indicação, preparação e reabilitação. O paciente idoso deve ser avaliado de forma multidimensional, e não apenas pela doença radiográfica da coluna.</w:t>
      </w:r>
    </w:p>
    <w:p w14:paraId="79C7EC41"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7. Por que este capítulo importa</w:t>
      </w:r>
    </w:p>
    <w:p w14:paraId="05BF665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Duas pessoas com a mesma idade e a mesma deformidade podem tolerar a mesma cirurgia de maneira completamente diferente. Fragilidade, sarcopenia e qualidade óssea ajudam a explicar parte dessa diferença. Incorporá-las ao planejamento permite reconhecer vulnerabilidades antes que elas se manifestem como complicações. Isso transforma a avaliação do idoso de uma estimativa baseada na idade para uma análise de capacidade funcional e reserva fisiológica.</w:t>
      </w:r>
    </w:p>
    <w:p w14:paraId="1AC5BA4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8. Descritores</w:t>
      </w:r>
    </w:p>
    <w:p w14:paraId="2E88D34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DeCS — MeSH:</w:t>
      </w:r>
      <w:r w:rsidRPr="00F77032">
        <w:rPr>
          <w:rFonts w:ascii="Times New Roman" w:eastAsia="Times New Roman" w:hAnsi="Times New Roman" w:cs="Times New Roman"/>
          <w:color w:val="000000"/>
          <w:kern w:val="0"/>
          <w14:ligatures w14:val="none"/>
        </w:rPr>
        <w:t> Fragilidade — Frailty; Sarcopenia — Sarcopenia; Idoso — Aged; Força Muscular — Muscle Strength; Densidade Óssea — Bone Density; Avaliação Geriátrica — Geriatric Assessment; Cuidados Perioperatórios — Perioperative Care.</w:t>
      </w:r>
    </w:p>
    <w:p w14:paraId="521DD9D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lastRenderedPageBreak/>
        <w:t>Palavra-chave livre:</w:t>
      </w:r>
      <w:r w:rsidRPr="00F77032">
        <w:rPr>
          <w:rFonts w:ascii="Times New Roman" w:eastAsia="Times New Roman" w:hAnsi="Times New Roman" w:cs="Times New Roman"/>
          <w:color w:val="000000"/>
          <w:kern w:val="0"/>
          <w14:ligatures w14:val="none"/>
        </w:rPr>
        <w:t> osteossarcopenia.</w:t>
      </w:r>
    </w:p>
    <w:p w14:paraId="5E3B6D97"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9. Cards</w:t>
      </w:r>
    </w:p>
    <w:p w14:paraId="28E81B30"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1 — Idade não define fragilidade</w:t>
      </w:r>
    </w:p>
    <w:p w14:paraId="6B67D86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Idade cronológica não é um substituto adequado para reserva funcional. Pacientes idosos apresentam ampla heterogeneidade, e instrumentos estruturados conseguem identificar vulnerabilidade que pode não ser evidente durante uma avaliação clínica convencional.</w:t>
      </w:r>
    </w:p>
    <w:p w14:paraId="09E5CAB4"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2 — Força é um sinal precoce</w:t>
      </w:r>
    </w:p>
    <w:p w14:paraId="4F9E026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Baixa força muscular pode ser uma das primeiras pistas para sarcopenia. Quando identificada, deve levar à avaliação da massa ou qualidade muscular e do desempenho físico, compondo uma análise mais completa da reserva funcional.</w:t>
      </w:r>
    </w:p>
    <w:p w14:paraId="7BD001C9"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3 — Planeje além da radiografia</w:t>
      </w:r>
    </w:p>
    <w:p w14:paraId="75E1755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Uma reconstrução anatomicamente possível pode ser biologicamente excessiva para determinados pacientes. Fragilidade, musculatura, densidade óssea e suporte funcional precisam participar da decisão sobre magnitude da cirurgia e estratégia de recuperação.</w:t>
      </w:r>
    </w:p>
    <w:p w14:paraId="655EF45A"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10. Referências</w:t>
      </w:r>
    </w:p>
    <w:p w14:paraId="06D0FCA3" w14:textId="77777777" w:rsidR="00F77032" w:rsidRPr="00F77032" w:rsidRDefault="00F77032" w:rsidP="00F7703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David J Lowsky DJ 1, S Jay Olshansky SJ 2, Jay Bhattacharya J 3, Dana P Goldman DP 4. Heterogeneity in healthy aging. J Gerontol A Biol Sci Med Sci. 2014;69(6):640-9.</w:t>
      </w:r>
    </w:p>
    <w:p w14:paraId="1A78A7D3" w14:textId="77777777" w:rsidR="00F77032" w:rsidRPr="00F77032" w:rsidRDefault="00F77032" w:rsidP="00F7703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Fried LP, Tangen CM, Walston J, Newman AB, Hirsch C, Gottdiener J, et al. Frailty in older adults: evidence for a phenotype. J Gerontol A Biol Sci Med Sci. 2001;56(3):M146-56.</w:t>
      </w:r>
    </w:p>
    <w:p w14:paraId="21CAFC62" w14:textId="77777777" w:rsidR="00F77032" w:rsidRPr="00F77032" w:rsidRDefault="00F77032" w:rsidP="00F7703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Balogun S, Winzenberg T, Wills K, Scott D, Callisaya M, Cicuttini F, et al. Prospective associations of osteosarcopenia and osteodynapenia with incident fracture and mortality over 10 years in community-dwelling older adults. Arch Gerontol Geriatr. 2019;82:67-73.</w:t>
      </w:r>
    </w:p>
    <w:p w14:paraId="0340EDF5" w14:textId="77777777" w:rsidR="00F77032" w:rsidRPr="00F77032" w:rsidRDefault="00F77032" w:rsidP="00F7703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van Kan GA, Rolland YM, Morley YE, Vellas B. Frailty: toward a clinical definition. J Am Med Dir Assoc. 2008;9(2):71-2.</w:t>
      </w:r>
    </w:p>
    <w:p w14:paraId="6CF585E0" w14:textId="77777777" w:rsidR="00F77032" w:rsidRPr="00F77032" w:rsidRDefault="00F77032" w:rsidP="00F77032">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Cruz-Jentoft AJ, Bahat G, Bauer J, Boirie Y, Bruyère O, Cederholm T, et al. Sarcopenia: revised European consensus on definition and diagnosis. Age Ageing. 2019;48(1):16-31.</w:t>
      </w:r>
    </w:p>
    <w:p w14:paraId="6D3CEAE0"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11. Metadados</w:t>
      </w:r>
    </w:p>
    <w:p w14:paraId="550B83E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Título SEO:</w:t>
      </w:r>
      <w:r w:rsidRPr="00F77032">
        <w:rPr>
          <w:rFonts w:ascii="Times New Roman" w:eastAsia="Times New Roman" w:hAnsi="Times New Roman" w:cs="Times New Roman"/>
          <w:color w:val="000000"/>
          <w:kern w:val="0"/>
          <w14:ligatures w14:val="none"/>
        </w:rPr>
        <w:t> Fragilidade e sarcopenia em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Meta descrição:</w:t>
      </w:r>
      <w:r w:rsidRPr="00F77032">
        <w:rPr>
          <w:rFonts w:ascii="Times New Roman" w:eastAsia="Times New Roman" w:hAnsi="Times New Roman" w:cs="Times New Roman"/>
          <w:color w:val="000000"/>
          <w:kern w:val="0"/>
          <w14:ligatures w14:val="none"/>
        </w:rPr>
        <w:t> Avaliação de fragilidade, sarcopenia e osteossarcopenia no paciente idoso e sua importância para o planejamento da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Resumo de chamada:</w:t>
      </w:r>
      <w:r w:rsidRPr="00F77032">
        <w:rPr>
          <w:rFonts w:ascii="Times New Roman" w:eastAsia="Times New Roman" w:hAnsi="Times New Roman" w:cs="Times New Roman"/>
          <w:color w:val="000000"/>
          <w:kern w:val="0"/>
          <w14:ligatures w14:val="none"/>
        </w:rPr>
        <w:t xml:space="preserve"> Fragilidade e sarcopenia como marcadores de reserva funcional e risco, </w:t>
      </w:r>
      <w:r w:rsidRPr="00F77032">
        <w:rPr>
          <w:rFonts w:ascii="Times New Roman" w:eastAsia="Times New Roman" w:hAnsi="Times New Roman" w:cs="Times New Roman"/>
          <w:color w:val="000000"/>
          <w:kern w:val="0"/>
          <w14:ligatures w14:val="none"/>
        </w:rPr>
        <w:lastRenderedPageBreak/>
        <w:t>incorporados à avaliação e ao planejamento perioperatório do paciente idoso.</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Slug:</w:t>
      </w:r>
      <w:r w:rsidRPr="00F77032">
        <w:rPr>
          <w:rFonts w:ascii="Times New Roman" w:eastAsia="Times New Roman" w:hAnsi="Times New Roman" w:cs="Times New Roman"/>
          <w:color w:val="000000"/>
          <w:kern w:val="0"/>
          <w14:ligatures w14:val="none"/>
        </w:rPr>
        <w:t> </w:t>
      </w:r>
      <w:r w:rsidRPr="00F77032">
        <w:rPr>
          <w:rFonts w:ascii="Courier New" w:eastAsia="Times New Roman" w:hAnsi="Courier New" w:cs="Courier New"/>
          <w:color w:val="000000"/>
          <w:kern w:val="0"/>
          <w:sz w:val="20"/>
          <w:szCs w:val="20"/>
          <w14:ligatures w14:val="none"/>
        </w:rPr>
        <w:t>fragilidade-sarcopenia-cirurgia-coluna</w:t>
      </w:r>
    </w:p>
    <w:p w14:paraId="35D0A178" w14:textId="77777777" w:rsidR="00F77032" w:rsidRPr="00F77032" w:rsidRDefault="009C0497" w:rsidP="00F77032">
      <w:pPr>
        <w:spacing w:after="0" w:line="240" w:lineRule="auto"/>
        <w:rPr>
          <w:rFonts w:ascii="Times New Roman" w:eastAsia="Times New Roman" w:hAnsi="Times New Roman" w:cs="Times New Roman"/>
          <w:kern w:val="0"/>
          <w14:ligatures w14:val="none"/>
        </w:rPr>
      </w:pPr>
      <w:r w:rsidRPr="009C0497">
        <w:rPr>
          <w:rFonts w:ascii="Times New Roman" w:eastAsia="Times New Roman" w:hAnsi="Times New Roman" w:cs="Times New Roman"/>
          <w:noProof/>
          <w:kern w:val="0"/>
        </w:rPr>
        <w:pict w14:anchorId="06503A73">
          <v:rect id="_x0000_i1026" style="width:0;height:1.5pt" o:hralign="center" o:hrstd="t" o:hr="t" fillcolor="#a0a0a0" stroked="f"/>
        </w:pict>
      </w:r>
    </w:p>
    <w:p w14:paraId="1FCF3CEE" w14:textId="77777777" w:rsidR="00F77032" w:rsidRPr="00F77032" w:rsidRDefault="00F77032" w:rsidP="00F77032">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F77032">
        <w:rPr>
          <w:rFonts w:ascii="Times New Roman" w:eastAsia="Times New Roman" w:hAnsi="Times New Roman" w:cs="Times New Roman"/>
          <w:b/>
          <w:bCs/>
          <w:color w:val="000000"/>
          <w:kern w:val="36"/>
          <w:sz w:val="48"/>
          <w:szCs w:val="48"/>
          <w14:ligatures w14:val="none"/>
        </w:rPr>
        <w:t>CAPÍTULO 109 — AVALIAÇÃO DOS RESULTADOS EM CIRURGIA DE COLUNA</w:t>
      </w:r>
    </w:p>
    <w:p w14:paraId="6C61431C"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 Identificação</w:t>
      </w:r>
    </w:p>
    <w:p w14:paraId="6A588267"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Número:</w:t>
      </w:r>
      <w:r w:rsidRPr="00F77032">
        <w:rPr>
          <w:rFonts w:ascii="Times New Roman" w:eastAsia="Times New Roman" w:hAnsi="Times New Roman" w:cs="Times New Roman"/>
          <w:color w:val="000000"/>
          <w:kern w:val="0"/>
          <w14:ligatures w14:val="none"/>
        </w:rPr>
        <w:t> 109</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Título:</w:t>
      </w:r>
      <w:r w:rsidRPr="00F77032">
        <w:rPr>
          <w:rFonts w:ascii="Times New Roman" w:eastAsia="Times New Roman" w:hAnsi="Times New Roman" w:cs="Times New Roman"/>
          <w:color w:val="000000"/>
          <w:kern w:val="0"/>
          <w14:ligatures w14:val="none"/>
        </w:rPr>
        <w:t> Avaliação dos Resultados em Cirurgia de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Seção:</w:t>
      </w:r>
      <w:r w:rsidRPr="00F77032">
        <w:rPr>
          <w:rFonts w:ascii="Times New Roman" w:eastAsia="Times New Roman" w:hAnsi="Times New Roman" w:cs="Times New Roman"/>
          <w:color w:val="000000"/>
          <w:kern w:val="0"/>
          <w14:ligatures w14:val="none"/>
        </w:rPr>
        <w:t> Seção 10 — Temas Complementares</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Autores:</w:t>
      </w:r>
      <w:r w:rsidRPr="00F77032">
        <w:rPr>
          <w:rFonts w:ascii="Times New Roman" w:eastAsia="Times New Roman" w:hAnsi="Times New Roman" w:cs="Times New Roman"/>
          <w:color w:val="000000"/>
          <w:kern w:val="0"/>
          <w14:ligatures w14:val="none"/>
        </w:rPr>
        <w:t> Pedro Aleixo Nogueira; Sergio Augusto Barbosa de Farias; Andrei Fernandes Joaquim</w:t>
      </w:r>
    </w:p>
    <w:p w14:paraId="608FA593"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2. Contexto</w:t>
      </w:r>
    </w:p>
    <w:p w14:paraId="01CFD16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resultado de uma cirurgia da coluna não pode ser determinado exclusivamente por radiografias, fusão obtida ou descompressão tecnicamente adequada. Dor, incapacidade, função, qualidade de vida, saúde mental e percepção do próprio paciente compõem dimensões diferentes do desfecho. Para mensurá-las, o capítulo apresenta instrumentos padronizados utilizados em patologias lombares e cervicais, enfatizando suas propriedades psicométricas e limitações. Oswestry Disability Index, Roland-Morris Disability Questionnaire, Quebec Back Pain Disability Scale, Neck Disability Index e Short Form-36 avaliam aspectos distintos e não devem ser considerados intercambiáveis em todos os contextos. Outro conceito fundamental é distinguir diferença estatística de melhora clinicamente percebida. Medidas de mudança clinicamente importante, estado sintomático aceitável e satisfação ajudam a interpretar os números. A avaliação adequada deve, portanto, ser longitudinal, multidimensional e centrada no paciente.</w:t>
      </w:r>
    </w:p>
    <w:p w14:paraId="1CA1C79F"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3. Objetivo</w:t>
      </w:r>
    </w:p>
    <w:p w14:paraId="0573D8C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Apresentar os principais instrumentos para avaliação de resultados em cirurgia da coluna e orientar sua seleção conforme patologia e segmento anatômico. O leitor deverá reconhecer limitações de escores isolados, interpretar mudanças clinicamente relevantes e integrar medidas de dor, incapacidade, qualidade de vida, fatores psicológicos e percepção do paciente ao acompanhamento clínico.</w:t>
      </w:r>
    </w:p>
    <w:p w14:paraId="484F6B95"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4. Conteúdo principal</w:t>
      </w:r>
    </w:p>
    <w:p w14:paraId="29DF1C8E"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Medir o que importa ao paciente</w:t>
      </w:r>
    </w:p>
    <w:p w14:paraId="6F573CD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Questionários validados transformam experiências subjetivas, como limitação funcional e qualidade de vida, em medidas reproduzíveis. Isso permite acompanhar a evolução de um indivíduo e comparar grupos e estratégias terapêuticas.</w:t>
      </w:r>
    </w:p>
    <w:p w14:paraId="00C6DCDB"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Entretanto, nenhum instrumento resume sozinho o resultado.</w:t>
      </w:r>
    </w:p>
    <w:p w14:paraId="681366B1"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Incapacidade lombar</w:t>
      </w:r>
    </w:p>
    <w:p w14:paraId="4B5789C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Oswestry Disability Index (ODI) é amplamente empregado na doença lombar e aborda diferentes dimensões da incapacidade. O capítulo discute responsividade, diferença mínima clinicamente importante e relação entre resultado e satisfação.</w:t>
      </w:r>
    </w:p>
    <w:p w14:paraId="784DE87D"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Um escore pré-operatório isolado não deve determinar elegibilidade cirúrgica, porque indicação depende de uma avaliação clínica mais ampla.</w:t>
      </w:r>
    </w:p>
    <w:p w14:paraId="5FDD090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Roland-Morris Disability Questionnaire (RMDQ) também avalia repercussão da lombalgia sobre atividades cotidianas. Sua simplicidade facilita aplicação repetida e acompanhamento longitudinal.</w:t>
      </w:r>
    </w:p>
    <w:p w14:paraId="3DAF667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Quebec Back Pain Disability Scale representa outra alternativa para avaliação da incapacidade associada à lombalgia.</w:t>
      </w:r>
    </w:p>
    <w:p w14:paraId="0CFAF425"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Resultados na coluna cervical</w:t>
      </w:r>
    </w:p>
    <w:p w14:paraId="1274EE29"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Neck Disability Index (NDI) é um dos instrumentos centrais para avaliar incapacidade relacionada à região cervical. O capítulo analisa sua relação com melhora de dor, função e satisfação após diferentes procedimentos cervicais.</w:t>
      </w:r>
    </w:p>
    <w:p w14:paraId="2AE14FA5"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associação entre mudança de escore e satisfação não é perfeita, reforçando que os dois conceitos medem dimensões diferentes.</w:t>
      </w:r>
    </w:p>
    <w:p w14:paraId="20B941FD"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Qualidade de vida</w:t>
      </w:r>
    </w:p>
    <w:p w14:paraId="7E25409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Short Form-36 (SF-36) amplia a avaliação ao incluir função física, dor, vitalidade, aspectos sociais, emocionais e saúde mental.</w:t>
      </w:r>
    </w:p>
    <w:p w14:paraId="762C4EE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Seu componente mental pré-operatório pode ter valor prognóstico, mostrando que fatores psicológicos influenciam a trajetória pós-operatória e devem participar do planejamento de expectativas.</w:t>
      </w:r>
    </w:p>
    <w:p w14:paraId="1CDBD09B"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Interpretar a mudança</w:t>
      </w:r>
    </w:p>
    <w:p w14:paraId="37DE984F"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Uma alteração estatisticamente detectável não é necessariamente significativa para o paciente. Conceitos como diferença mínima clinicamente importante e estado de sintomas aceitável acrescentam perspectiva clínica à interpretação.</w:t>
      </w:r>
    </w:p>
    <w:p w14:paraId="7185EBE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Por isso, o acompanhamento deve utilizar o mesmo instrumento de forma consistente antes e depois do tratamento e integrar o resultado numérico à avaliação clínica.</w:t>
      </w:r>
    </w:p>
    <w:p w14:paraId="39B821FC"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5. Aplicação clínica</w:t>
      </w:r>
    </w:p>
    <w:p w14:paraId="67FCA061"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 primeiro passo é escolher uma medida coerente com o problema. Instrumentos específicos para incapacidade lombar fornecem informação diferente daqueles desenvolvidos para doença cervical ou qualidade de vida geral.</w:t>
      </w:r>
    </w:p>
    <w:p w14:paraId="61A18F4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 coleta pré-operatória cria a linha de base necessária para interpretar o resultado. No acompanhamento, repetir o mesmo questionário permite identificar trajetória de melhora ou deterioração sem depender apenas da memória do paciente ou da impressão do avaliador.</w:t>
      </w:r>
    </w:p>
    <w:p w14:paraId="0E02F2DC"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Entretanto, um bom escore não encerra a análise. O paciente pode apresentar melhora clinicamente significativa e ainda permanecer insatisfeito, ou apresentar mudança pequena em determinado questionário enquanto melhora em outra dimensão relevante.</w:t>
      </w:r>
    </w:p>
    <w:p w14:paraId="222BA7C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Fatores estruturais, musculares e psicossociais também precisam ser considerados. O componente mental de instrumentos de qualidade de vida, por exemplo, pode influenciar a evolução funcional.</w:t>
      </w:r>
    </w:p>
    <w:p w14:paraId="7FCF7C0A"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Na prática, o melhor sistema de avaliação combina medidas específicas da doença com avaliação global de saúde, dor e percepção do paciente, utilizando instrumentos validados para a população à qual são aplicados.</w:t>
      </w:r>
    </w:p>
    <w:p w14:paraId="55D67F2C"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6. Mensagem central</w:t>
      </w:r>
    </w:p>
    <w:p w14:paraId="20D99846"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Avaliar resultados em cirurgia da coluna significa medir mais do que anatomia ou dor. Instrumentos validados permitem quantificar incapacidade e qualidade de vida, mas precisam ser escolhidos de acordo com o contexto e interpretados junto à clínica. A melhora que realmente importa é multidimensional e deve refletir mudança percebida pelo paciente, e não apenas diferença numérica em um escore.</w:t>
      </w:r>
    </w:p>
    <w:p w14:paraId="56B36E60"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7. Por que este capítulo importa</w:t>
      </w:r>
    </w:p>
    <w:p w14:paraId="3C9E348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Sem medir resultados de forma padronizada, é difícil saber se uma intervenção realmente melhorou a vida do paciente, comparar técnicas ou identificar quem não está evoluindo como esperado. Ao mesmo tempo, aplicar questionários sem compreender suas limitações pode produzir conclusões equivocadas. O capítulo fornece uma ponte entre métricas e prática clínica, mostrando como transformar PROMs em ferramentas para decisão e acompanhamento, e não apenas em dados para pesquisa.</w:t>
      </w:r>
    </w:p>
    <w:p w14:paraId="1C51650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8. Descritores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1"/>
        <w:gridCol w:w="3601"/>
      </w:tblGrid>
      <w:tr w:rsidR="00F77032" w:rsidRPr="00F77032" w14:paraId="3D5787F5" w14:textId="77777777">
        <w:trPr>
          <w:tblHeader/>
          <w:tblCellSpacing w:w="15" w:type="dxa"/>
        </w:trPr>
        <w:tc>
          <w:tcPr>
            <w:tcW w:w="0" w:type="auto"/>
            <w:vAlign w:val="center"/>
            <w:hideMark/>
          </w:tcPr>
          <w:p w14:paraId="799E66EE" w14:textId="77777777" w:rsidR="00F77032" w:rsidRPr="00F77032" w:rsidRDefault="00F77032" w:rsidP="00F77032">
            <w:pPr>
              <w:spacing w:after="0" w:line="240" w:lineRule="auto"/>
              <w:jc w:val="center"/>
              <w:rPr>
                <w:rFonts w:ascii="Times New Roman" w:eastAsia="Times New Roman" w:hAnsi="Times New Roman" w:cs="Times New Roman"/>
                <w:b/>
                <w:bCs/>
                <w:color w:val="000000"/>
                <w:kern w:val="0"/>
                <w14:ligatures w14:val="none"/>
              </w:rPr>
            </w:pPr>
            <w:r w:rsidRPr="00F77032">
              <w:rPr>
                <w:rFonts w:ascii="Times New Roman" w:eastAsia="Times New Roman" w:hAnsi="Times New Roman" w:cs="Times New Roman"/>
                <w:b/>
                <w:bCs/>
                <w:color w:val="000000"/>
                <w:kern w:val="0"/>
                <w14:ligatures w14:val="none"/>
              </w:rPr>
              <w:lastRenderedPageBreak/>
              <w:t>DeCS</w:t>
            </w:r>
          </w:p>
        </w:tc>
        <w:tc>
          <w:tcPr>
            <w:tcW w:w="0" w:type="auto"/>
            <w:vAlign w:val="center"/>
            <w:hideMark/>
          </w:tcPr>
          <w:p w14:paraId="4CDFB60A" w14:textId="77777777" w:rsidR="00F77032" w:rsidRPr="00F77032" w:rsidRDefault="00F77032" w:rsidP="00F77032">
            <w:pPr>
              <w:spacing w:after="0" w:line="240" w:lineRule="auto"/>
              <w:jc w:val="center"/>
              <w:rPr>
                <w:rFonts w:ascii="Times New Roman" w:eastAsia="Times New Roman" w:hAnsi="Times New Roman" w:cs="Times New Roman"/>
                <w:b/>
                <w:bCs/>
                <w:color w:val="000000"/>
                <w:kern w:val="0"/>
                <w14:ligatures w14:val="none"/>
              </w:rPr>
            </w:pPr>
            <w:r w:rsidRPr="00F77032">
              <w:rPr>
                <w:rFonts w:ascii="Times New Roman" w:eastAsia="Times New Roman" w:hAnsi="Times New Roman" w:cs="Times New Roman"/>
                <w:b/>
                <w:bCs/>
                <w:color w:val="000000"/>
                <w:kern w:val="0"/>
                <w14:ligatures w14:val="none"/>
              </w:rPr>
              <w:t>MeSH</w:t>
            </w:r>
          </w:p>
        </w:tc>
      </w:tr>
      <w:tr w:rsidR="00F77032" w:rsidRPr="00F77032" w14:paraId="58890592" w14:textId="77777777">
        <w:trPr>
          <w:tblCellSpacing w:w="15" w:type="dxa"/>
        </w:trPr>
        <w:tc>
          <w:tcPr>
            <w:tcW w:w="0" w:type="auto"/>
            <w:vAlign w:val="center"/>
            <w:hideMark/>
          </w:tcPr>
          <w:p w14:paraId="6207922D"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Avaliação de Resultados em Cuidados de Saúde</w:t>
            </w:r>
          </w:p>
        </w:tc>
        <w:tc>
          <w:tcPr>
            <w:tcW w:w="0" w:type="auto"/>
            <w:vAlign w:val="center"/>
            <w:hideMark/>
          </w:tcPr>
          <w:p w14:paraId="577FAFD3"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Outcome Assessment, Health Care</w:t>
            </w:r>
          </w:p>
        </w:tc>
      </w:tr>
      <w:tr w:rsidR="00F77032" w:rsidRPr="00F77032" w14:paraId="7E22250A" w14:textId="77777777">
        <w:trPr>
          <w:tblCellSpacing w:w="15" w:type="dxa"/>
        </w:trPr>
        <w:tc>
          <w:tcPr>
            <w:tcW w:w="0" w:type="auto"/>
            <w:vAlign w:val="center"/>
            <w:hideMark/>
          </w:tcPr>
          <w:p w14:paraId="1BA79CAA"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Medidas de Resultado Relatadas pelo Paciente</w:t>
            </w:r>
          </w:p>
        </w:tc>
        <w:tc>
          <w:tcPr>
            <w:tcW w:w="0" w:type="auto"/>
            <w:vAlign w:val="center"/>
            <w:hideMark/>
          </w:tcPr>
          <w:p w14:paraId="0831EB72"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Patient Reported Outcome Measures</w:t>
            </w:r>
          </w:p>
        </w:tc>
      </w:tr>
      <w:tr w:rsidR="00F77032" w:rsidRPr="00F77032" w14:paraId="0F9A3B6D" w14:textId="77777777">
        <w:trPr>
          <w:tblCellSpacing w:w="15" w:type="dxa"/>
        </w:trPr>
        <w:tc>
          <w:tcPr>
            <w:tcW w:w="0" w:type="auto"/>
            <w:vAlign w:val="center"/>
            <w:hideMark/>
          </w:tcPr>
          <w:p w14:paraId="7EF3EC69"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Qualidade de Vida</w:t>
            </w:r>
          </w:p>
        </w:tc>
        <w:tc>
          <w:tcPr>
            <w:tcW w:w="0" w:type="auto"/>
            <w:vAlign w:val="center"/>
            <w:hideMark/>
          </w:tcPr>
          <w:p w14:paraId="6EC17B0B"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Quality of Life</w:t>
            </w:r>
          </w:p>
        </w:tc>
      </w:tr>
      <w:tr w:rsidR="00F77032" w:rsidRPr="00F77032" w14:paraId="538461BC" w14:textId="77777777">
        <w:trPr>
          <w:tblCellSpacing w:w="15" w:type="dxa"/>
        </w:trPr>
        <w:tc>
          <w:tcPr>
            <w:tcW w:w="0" w:type="auto"/>
            <w:vAlign w:val="center"/>
            <w:hideMark/>
          </w:tcPr>
          <w:p w14:paraId="2AE683C4"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Avaliação da Deficiência</w:t>
            </w:r>
          </w:p>
        </w:tc>
        <w:tc>
          <w:tcPr>
            <w:tcW w:w="0" w:type="auto"/>
            <w:vAlign w:val="center"/>
            <w:hideMark/>
          </w:tcPr>
          <w:p w14:paraId="6859AE66"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Disability Evaluation</w:t>
            </w:r>
          </w:p>
        </w:tc>
      </w:tr>
      <w:tr w:rsidR="00F77032" w:rsidRPr="00F77032" w14:paraId="6321D7FF" w14:textId="77777777">
        <w:trPr>
          <w:tblCellSpacing w:w="15" w:type="dxa"/>
        </w:trPr>
        <w:tc>
          <w:tcPr>
            <w:tcW w:w="0" w:type="auto"/>
            <w:vAlign w:val="center"/>
            <w:hideMark/>
          </w:tcPr>
          <w:p w14:paraId="18A64B9B"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Inquéritos e Questionários</w:t>
            </w:r>
          </w:p>
        </w:tc>
        <w:tc>
          <w:tcPr>
            <w:tcW w:w="0" w:type="auto"/>
            <w:vAlign w:val="center"/>
            <w:hideMark/>
          </w:tcPr>
          <w:p w14:paraId="3EAF38C6"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Surveys and Questionnaires</w:t>
            </w:r>
          </w:p>
        </w:tc>
      </w:tr>
      <w:tr w:rsidR="00F77032" w:rsidRPr="00F77032" w14:paraId="428358D6" w14:textId="77777777">
        <w:trPr>
          <w:tblCellSpacing w:w="15" w:type="dxa"/>
        </w:trPr>
        <w:tc>
          <w:tcPr>
            <w:tcW w:w="0" w:type="auto"/>
            <w:vAlign w:val="center"/>
            <w:hideMark/>
          </w:tcPr>
          <w:p w14:paraId="24684A33"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Lombar</w:t>
            </w:r>
          </w:p>
        </w:tc>
        <w:tc>
          <w:tcPr>
            <w:tcW w:w="0" w:type="auto"/>
            <w:vAlign w:val="center"/>
            <w:hideMark/>
          </w:tcPr>
          <w:p w14:paraId="4FF343F8"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Low Back Pain</w:t>
            </w:r>
          </w:p>
        </w:tc>
      </w:tr>
      <w:tr w:rsidR="00F77032" w:rsidRPr="00F77032" w14:paraId="0C6CF498" w14:textId="77777777">
        <w:trPr>
          <w:tblCellSpacing w:w="15" w:type="dxa"/>
        </w:trPr>
        <w:tc>
          <w:tcPr>
            <w:tcW w:w="0" w:type="auto"/>
            <w:vAlign w:val="center"/>
            <w:hideMark/>
          </w:tcPr>
          <w:p w14:paraId="43F3D81E"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Dor Cervical</w:t>
            </w:r>
          </w:p>
        </w:tc>
        <w:tc>
          <w:tcPr>
            <w:tcW w:w="0" w:type="auto"/>
            <w:vAlign w:val="center"/>
            <w:hideMark/>
          </w:tcPr>
          <w:p w14:paraId="7CB6D096"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Neck Pain</w:t>
            </w:r>
          </w:p>
        </w:tc>
      </w:tr>
      <w:tr w:rsidR="00F77032" w:rsidRPr="00F77032" w14:paraId="206F1543" w14:textId="77777777">
        <w:trPr>
          <w:tblCellSpacing w:w="15" w:type="dxa"/>
        </w:trPr>
        <w:tc>
          <w:tcPr>
            <w:tcW w:w="0" w:type="auto"/>
            <w:vAlign w:val="center"/>
            <w:hideMark/>
          </w:tcPr>
          <w:p w14:paraId="4AF0267D"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Satisfação do Paciente</w:t>
            </w:r>
          </w:p>
        </w:tc>
        <w:tc>
          <w:tcPr>
            <w:tcW w:w="0" w:type="auto"/>
            <w:vAlign w:val="center"/>
            <w:hideMark/>
          </w:tcPr>
          <w:p w14:paraId="7A0156E2" w14:textId="77777777" w:rsidR="00F77032" w:rsidRPr="00F77032" w:rsidRDefault="00F77032" w:rsidP="00F77032">
            <w:pPr>
              <w:spacing w:after="0"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Patient Satisfaction</w:t>
            </w:r>
          </w:p>
        </w:tc>
      </w:tr>
    </w:tbl>
    <w:p w14:paraId="608F7A3D"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9. Cards</w:t>
      </w:r>
    </w:p>
    <w:p w14:paraId="7B515A43"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1 — Resultado não é radiografia</w:t>
      </w:r>
    </w:p>
    <w:p w14:paraId="7B00AFF3"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Fusão, alinhamento ou descompressão descrevem aspectos estruturais da cirurgia, mas não revelam automaticamente como o paciente vive. Dor, função, qualidade de vida e percepção do tratamento precisam ser mensuradas separadamente.</w:t>
      </w:r>
    </w:p>
    <w:p w14:paraId="646B07F8"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2 — Escolha a escala correta</w:t>
      </w:r>
    </w:p>
    <w:p w14:paraId="791D9752"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ODI, RMDQ, NDI e SF-36 não respondem exatamente à mesma pergunta. A seleção deve acompanhar o segmento, a doença e o domínio que se pretende avaliar, permitindo comparações válidas ao longo do seguimento.</w:t>
      </w:r>
    </w:p>
    <w:p w14:paraId="7F432A02" w14:textId="77777777" w:rsidR="00F77032" w:rsidRPr="00F77032" w:rsidRDefault="00F77032" w:rsidP="00F7703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77032">
        <w:rPr>
          <w:rFonts w:ascii="Times New Roman" w:eastAsia="Times New Roman" w:hAnsi="Times New Roman" w:cs="Times New Roman"/>
          <w:b/>
          <w:bCs/>
          <w:color w:val="000000"/>
          <w:kern w:val="0"/>
          <w:sz w:val="27"/>
          <w:szCs w:val="27"/>
          <w14:ligatures w14:val="none"/>
        </w:rPr>
        <w:t>Card 3 — Estatística não basta</w:t>
      </w:r>
    </w:p>
    <w:p w14:paraId="4EAF8D48"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Uma diferença numericamente significativa pode ser pouco relevante para o paciente. Conceitos de mudança clinicamente importante e estado sintomático aceitável ajudam a traduzir escores em significado clínico e devem ser interpretados junto à evolução individual.</w:t>
      </w:r>
    </w:p>
    <w:p w14:paraId="3FCBD50E"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10. Referências</w:t>
      </w:r>
    </w:p>
    <w:p w14:paraId="09B94205"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Falavigna A, Teles AR, Braga GL, Barazzetti DO, Lazzaretti L, Tregnago AC. Instrumentos de avaliação clínica e funcional em cirurgia da coluna vertebral. Coluna/Columna. 2011;10.</w:t>
      </w:r>
    </w:p>
    <w:p w14:paraId="23267BAE"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Yee TJ, Fearer KJ, Oppenlander ME, Kashlan ON, Szerlip N, Buckingham MJ, et al. Correlation between the Oswestry Disability Index and the North American Spine Surgery Patient Satisfaction Index. World Neurosurg. 2020;139:e724-9.</w:t>
      </w:r>
    </w:p>
    <w:p w14:paraId="16638F17"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Vigatto R, Alexandre MC, Rodrigues H, Filho C. Development of a Brazilian Portuguese version of the Oswestry Disability Index: cross-cultural adaptation, reliability, and validity. Spine. 2024;32.</w:t>
      </w:r>
    </w:p>
    <w:p w14:paraId="047526C6"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 xml:space="preserve">Copay AG, Glassman SD, Subach BR, Berven S, Schuler TC, Carreon LY. Minimum clinically important difference in lumbar spine surgery patients: a choice of methods </w:t>
      </w:r>
      <w:r w:rsidRPr="00F77032">
        <w:rPr>
          <w:rFonts w:ascii="Times New Roman" w:eastAsia="Times New Roman" w:hAnsi="Times New Roman" w:cs="Times New Roman"/>
          <w:color w:val="000000"/>
          <w:kern w:val="0"/>
          <w14:ligatures w14:val="none"/>
        </w:rPr>
        <w:lastRenderedPageBreak/>
        <w:t>using the Oswestry Disability Index, Medical Outcomes Study questionnaire Short Form 36, and Pain Scales. Spine J. 2008;8(6):968-74.</w:t>
      </w:r>
    </w:p>
    <w:p w14:paraId="1D5D1D00"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Hägg O, Fritzell P, Nordwall A. The clinical importance of changes in outcome scores after treatment for chronic low back pain. Eur Spine J. 2003;12(1):12-20.</w:t>
      </w:r>
    </w:p>
    <w:p w14:paraId="182E3CC7"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Mannion AF, Junge A, Grob D, Dvorak J, Fairbank JCT. Development of a German version of the Oswestry Disability Index. Part 2: sensitivity to change after spinal surgery. Eur Spine J. 2006;15(1):66-73.</w:t>
      </w:r>
    </w:p>
    <w:p w14:paraId="40DE657A"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Hambrecht J, Köhli P, Chiapparelli E, Amoroso K, Zhu J, Lan R, et al. How much improvement in Oswestry Disability Index is necessary to make your patient satisfied after lumbar surgery? Spine. 2025;50(1):67-73.</w:t>
      </w:r>
    </w:p>
    <w:p w14:paraId="2EE7C23A"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Shahi P, Shinn D, Singh N, Subramanian T, Song J, Dalal S, et al. ODI &lt;25 denotes patient acceptable symptom state after minimally invasive lumbar spine surgery. Spine. 2023;48(3):196-202.</w:t>
      </w:r>
    </w:p>
    <w:p w14:paraId="0C12FACC"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Hambrecht J, Köhli P, Duculan R, Chiapparelli E, Lan R, Guven AE, et al. The disaggregated Oswestry Disability Index: what is the most predictive subsection for patient satisfaction after lumbar surgery? Spine. 2024 Oct 28.</w:t>
      </w:r>
    </w:p>
    <w:p w14:paraId="4F2C21C6"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Hambrecht J, Köhli P, Duculan R, Lan R, Chiapparelli E, Guven AE, et al. The impact of paraspinal muscle degeneration on Oswestry Disability Index subsections two years after spinal surgery for degenerative lumbar spondylolisthesis. Spine. 2024 Oct 16.</w:t>
      </w:r>
    </w:p>
    <w:p w14:paraId="6B189593"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Bansal A, Kumar R, Lipson P, Alostaz M, Nemani V, Leveque JC, et al. Comparison of Oswestry Disability Index scores between surgical candidates and general population. Spine. 2024 Sep 30.</w:t>
      </w:r>
    </w:p>
    <w:p w14:paraId="292F10C7"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Issa TZ, Haider AA, Lambrechts MJ, Sherman MB, Canseco JA, Vaccaro AR, et al. Preoperative Oswestry Disability Index should not be utilized to determine surgical eligibility for patients requiring lumbar fusion for degenerative lumbar spine disease. Spine. 2024;49(14):965-72.</w:t>
      </w:r>
    </w:p>
    <w:p w14:paraId="0DA37D2F"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Frota NT, Fidelis-de-Paula-Gomes CA, Pontes-Silva A, Pinheiro JS, de Jesus SFC, Apahaza GHS, et al. 15-item Roland-Morris Disability Questionnaire: structural and criterion validity on patients with chronic low back pain. BMC Musculoskelet Disord. 2022;23(1).</w:t>
      </w:r>
    </w:p>
    <w:p w14:paraId="54063436"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Júnior FBS, Dibai-Filho AV, Brito Pinheiro CA, Fidelis-de-Paula-Gomes CA, Pinheiro JS, Girasol CE, et al. 15-item Roland-Morris Disability Questionnaire for general pain: structural validity and criterion validity on Brazilian patients with chronic pain. Musculoskelet Sci Pract. 2023;66.</w:t>
      </w:r>
    </w:p>
    <w:p w14:paraId="0D0DE80B"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Asghari A. Psychometric properties of a modified version of the Roland-Morris Disability Questionnaire. Arch Iran Med. 2011;14(5):327-31.</w:t>
      </w:r>
    </w:p>
    <w:p w14:paraId="698B9B1A"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Coelho RA, Siqueira FB, Ferreira PH, Ferreira ML. Responsiveness of the Brazilian-Portuguese version of the Oswestry Disability Index in subjects with low back pain. Eur Spine J. 2008;17(8):1101-6.</w:t>
      </w:r>
    </w:p>
    <w:p w14:paraId="2BCA1BA0"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Roland-Morris B, Nusbaum L, Natour J, Ferraz MB, Goldenberg J. Brazil Roland-Morris questionnaire. Braz J Med Biol Res. 2001;34.</w:t>
      </w:r>
    </w:p>
    <w:p w14:paraId="0392812D"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Ostelo RWJG, de Vet HCW, Knol DL, van den Brandt PA. 24-item Roland-Morris Disability Questionnaire was preferred out of six functional status questionnaires for post-lumbar disc surgery. J Clin Epidemiol. 2004;57(3):268-76.</w:t>
      </w:r>
    </w:p>
    <w:p w14:paraId="267249BB"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 xml:space="preserve">Hoh DJ, Qureshi S, Anderson PA, Arnold PM, John HC, Dailey AT, et al. Congress of Neurological Surgeons systematic review and evidence-based guidelines on the </w:t>
      </w:r>
      <w:r w:rsidRPr="00F77032">
        <w:rPr>
          <w:rFonts w:ascii="Times New Roman" w:eastAsia="Times New Roman" w:hAnsi="Times New Roman" w:cs="Times New Roman"/>
          <w:color w:val="000000"/>
          <w:kern w:val="0"/>
          <w14:ligatures w14:val="none"/>
        </w:rPr>
        <w:lastRenderedPageBreak/>
        <w:t>evaluation and treatment of patients with thoracolumbar spine trauma: nonoperative care. Neurosurgery. 2019;84(1):E46-9.</w:t>
      </w:r>
    </w:p>
    <w:p w14:paraId="09834F1F"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Siebenga J, Leferink VJM, Segers MJM, Elzinga MJ, Bakker FC, ten DH, et al. A prospective cohort study comparing the VAS spine score and Roland-Morris Disability Questionnaire in patients with a type A traumatic thoracolumbar spinal fracture. Eur Spine J. 2008;17(8):1096-100.</w:t>
      </w:r>
    </w:p>
    <w:p w14:paraId="0D7F16FB"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Ko S, Choi W. Usefulness of preoperative Short Form-36 mental component score as a prognostic factor in patients who underwent decompression surgery for degenerative lumbar spinal stenosis. Medicine. 2022;101(39):e30231.</w:t>
      </w:r>
    </w:p>
    <w:p w14:paraId="5FA14FEE"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Monticone M, Frigau L, Mola F, Rocca B, Franchignoni F, Simone Vullo S, et al. The Italian version of the Quebec Back Pain Disability Scale: cross-cultural adaptation, reliability and validity in patients with chronic low back pain. Eur Spine J. 2020;29(3):530-9.</w:t>
      </w:r>
    </w:p>
    <w:p w14:paraId="4A8458DE"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Wei X, Yi H, Wu B, Qi M, Liu X, Chen Z, et al. A valid cross-culturally adapted simplified Chinese version of the Quebec Back Pain Disability Scale. J Clin Epidemiol. 2012;65(12):1321-8.</w:t>
      </w:r>
    </w:p>
    <w:p w14:paraId="52521CB5"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Cruz EB, Fernandes R, Carnide F, Vieira A, Moniz S, Nunes F. Cross-cultural adaptation and validation of the Quebec Back Pain Disability Scale to European Portuguese language. Spine. 2013;38(23).</w:t>
      </w:r>
    </w:p>
    <w:p w14:paraId="33242059"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Jenks A, Hoekstra T, van Tulder M, Ostelo RW, Rubinstein SM, Chiarotto A. Roland-Morris Disability Questionnaire, Oswestry Disability Index, and Quebec Back Pain Disability Scale: which has superior measurement properties in older adults with low back pain? J Orthop Sports Phys Ther. 2022;52(7):457-69.</w:t>
      </w:r>
    </w:p>
    <w:p w14:paraId="0BF9D2F2"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Demoulin C, Ostelo R, Knottnerus JA, Smeets RJEM. Quebec Back Pain Disability Scale was responsive and showed reasonable interpretability after a multidisciplinary treatment. J Clin Epidemiol. 2010;63(11):1249-55.</w:t>
      </w:r>
    </w:p>
    <w:p w14:paraId="0A1E54E0"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Vieira AC, Moniz S, Fernandes R, Carnide F, Cruz EB. Responsiveness and interpretability of the Portuguese version of the Quebec Back Pain Disability Scale in patients with chronic low back pain. Spine. 2014;39(5).</w:t>
      </w:r>
    </w:p>
    <w:p w14:paraId="48AAC960"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Jacob KC, Patel MR, Ribot MA, Pawlowski H, Prabhu MC, Vanjani NN, et al. Neck disability at presentation influences long-term clinical improvement for neck pain, arm pain, disability, and physical function in patients undergoing anterior cervical discectomy and fusion. World Neurosurg. 2022;163:e663-72.</w:t>
      </w:r>
    </w:p>
    <w:p w14:paraId="5AFC43F6"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Shahi P, Subramanian T, Singh N, Shinn D, Dalal S, Song J, et al. NDI &lt;21 denotes patient acceptable symptom state after degenerative cervical spine surgery. Spine. 2023;48(11):766-71.</w:t>
      </w:r>
    </w:p>
    <w:p w14:paraId="1AC81746"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Donk R, Verbeek A, Verhagen W, Groenewoud H, Hosman A, Bartels R. The qualification of outcome after cervical spine surgery by patients compared to the Neck Disability Index. PLoS One. 2016;11(8):e0161593.</w:t>
      </w:r>
    </w:p>
    <w:p w14:paraId="0931A948"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Pennings JS, Khan I, Davidson CA, Freitag R, Bydon M, Asher AL, et al. Using PROMIS-29 to predict Neck Disability Index scores using a national sample of cervical spine surgery patients. Spine J. 2020;20(8):1305-15.</w:t>
      </w:r>
    </w:p>
    <w:p w14:paraId="5137E242"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Mjåset C, Zwart JA, Kolstad F, Solberg T, Grotle M. Clinical improvement after surgery for degenerative cervical myelopathy: a comparison of patient-reported outcome measures during 12-month follow-up. PLoS One. 2022;17(3):e0264954.</w:t>
      </w:r>
    </w:p>
    <w:p w14:paraId="67EFD32B"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lastRenderedPageBreak/>
        <w:t>Khan I, Sivaganesan A, Archer KR, Bydon M, McGirt MJ, Nian H, et al. Does Neck Disability Index correlate with 12-month satisfaction after elective surgery for cervical radiculopathy? Results from a national spine registry. Neurosurgery. 2020;86(5):736-41.</w:t>
      </w:r>
    </w:p>
    <w:p w14:paraId="7685069D"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Danielsen E, Ingebrigtsen T, Gulati S, Salvesen Ø, Johansen TO, Nygaard ØP, et al. Patient characteristics associated with worsening of neck pain-related disability after surgery for degenerative cervical myelopathy: a nationwide study of 1508 patients. Neurosurgery. 2024 Feb 7.</w:t>
      </w:r>
    </w:p>
    <w:p w14:paraId="685BA7C0"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Porche K, Sherrod BA, Rosero S, Chan AK, Shaffrey CI, Gottfried ON, et al. A comparative study on the effect of age on Neck Disability Index improvement at 24 months after surgical intervention for cervical spondylotic myelopathy: a Quality Outcomes Database study. J Neurosurg Spine. 2025;1-16.</w:t>
      </w:r>
    </w:p>
    <w:p w14:paraId="1F3F4E30"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Ghogawala Z, Resnick DK, Watters WC, Mummaneni PV, Dailey AT, Choudhri TF, et al. Guideline update for the performance of fusion procedures for degenerative disease of the lumbar spine. Part 2: assessment of functional outcome following lumbar fusion. J Neurosurg Spine. 2014;21(1):7-13.</w:t>
      </w:r>
    </w:p>
    <w:p w14:paraId="5AA74E52"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Joelson A, Sigmundsson FG, Karlsson J. Stability of SF-36 profiles between 2007 and 2016: a study of 27,302 patients surgically treated for lumbar spine diseases. Health Qual Life Outcomes. 2022;20(1):92.</w:t>
      </w:r>
    </w:p>
    <w:p w14:paraId="5F74732F"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Gornet MF, Copay AG, Sorensen KM, Schranck FW. Assessment of health-related quality of life in spine treatment: conversion from SF-36 to VR-12. Spine J. 2018;18(7):1292-7.</w:t>
      </w:r>
    </w:p>
    <w:p w14:paraId="1173B249"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Badhiwala JH, Witiw CD, Nassiri F, Akbar MA, Jaja B, Wilson JR, et al. Minimum clinically important difference in SF-36 scores for use in degenerative cervical myelopathy. Spine. 2018;43(21):E1260-6.</w:t>
      </w:r>
    </w:p>
    <w:p w14:paraId="1E8B56B0"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Joelson A, Strömqvist F, Sigmundsson FG, Karlsson J. Single item self-rated general health: SF-36 based observations from 16,910 spine surgery procedures. Qual Life Res. 2022;31(6):1819-28.</w:t>
      </w:r>
    </w:p>
    <w:p w14:paraId="6289724E"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Joelson A, Sigmundsson FG, Karlsson J. Responsiveness of the SF-36 general health domain: observations from 14,883 spine surgery procedures. Qual Life Res. 2022;31(2):589-96.</w:t>
      </w:r>
    </w:p>
    <w:p w14:paraId="4DF30868" w14:textId="77777777" w:rsidR="00F77032" w:rsidRPr="00F77032" w:rsidRDefault="00F77032" w:rsidP="00F77032">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color w:val="000000"/>
          <w:kern w:val="0"/>
          <w14:ligatures w14:val="none"/>
        </w:rPr>
        <w:t>Ko S, Choi W. Usefulness of preoperative Short Form-36 mental component score as a prognostic factor in patients who underwent decompression surgery for degenerative lumbar spinal stenosis. Medicine. 2022;101(39):e30231.</w:t>
      </w:r>
    </w:p>
    <w:p w14:paraId="44B22BAF" w14:textId="77777777" w:rsidR="00F77032" w:rsidRPr="00F77032" w:rsidRDefault="00F77032" w:rsidP="00F7703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F77032">
        <w:rPr>
          <w:rFonts w:ascii="Times New Roman" w:eastAsia="Times New Roman" w:hAnsi="Times New Roman" w:cs="Times New Roman"/>
          <w:b/>
          <w:bCs/>
          <w:color w:val="000000"/>
          <w:kern w:val="0"/>
          <w:sz w:val="36"/>
          <w:szCs w:val="36"/>
          <w14:ligatures w14:val="none"/>
        </w:rPr>
        <w:t>11. Metadados</w:t>
      </w:r>
    </w:p>
    <w:p w14:paraId="0242BF4E" w14:textId="77777777" w:rsidR="00F77032" w:rsidRPr="00F77032" w:rsidRDefault="00F77032" w:rsidP="00F77032">
      <w:pPr>
        <w:spacing w:before="100" w:beforeAutospacing="1" w:after="100" w:afterAutospacing="1" w:line="240" w:lineRule="auto"/>
        <w:rPr>
          <w:rFonts w:ascii="Times New Roman" w:eastAsia="Times New Roman" w:hAnsi="Times New Roman" w:cs="Times New Roman"/>
          <w:color w:val="000000"/>
          <w:kern w:val="0"/>
          <w14:ligatures w14:val="none"/>
        </w:rPr>
      </w:pPr>
      <w:r w:rsidRPr="00F77032">
        <w:rPr>
          <w:rFonts w:ascii="Times New Roman" w:eastAsia="Times New Roman" w:hAnsi="Times New Roman" w:cs="Times New Roman"/>
          <w:b/>
          <w:bCs/>
          <w:color w:val="000000"/>
          <w:kern w:val="0"/>
          <w14:ligatures w14:val="none"/>
        </w:rPr>
        <w:t>Título SEO:</w:t>
      </w:r>
      <w:r w:rsidRPr="00F77032">
        <w:rPr>
          <w:rFonts w:ascii="Times New Roman" w:eastAsia="Times New Roman" w:hAnsi="Times New Roman" w:cs="Times New Roman"/>
          <w:color w:val="000000"/>
          <w:kern w:val="0"/>
          <w14:ligatures w14:val="none"/>
        </w:rPr>
        <w:t> Avaliação de resultados em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Meta descrição:</w:t>
      </w:r>
      <w:r w:rsidRPr="00F77032">
        <w:rPr>
          <w:rFonts w:ascii="Times New Roman" w:eastAsia="Times New Roman" w:hAnsi="Times New Roman" w:cs="Times New Roman"/>
          <w:color w:val="000000"/>
          <w:kern w:val="0"/>
          <w14:ligatures w14:val="none"/>
        </w:rPr>
        <w:t> Como utilizar ODI, RMDQ, NDI, SF-36 e outras medidas para avaliar função, qualidade de vida e resultados percebidos após cirurgia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Resumo de chamada:</w:t>
      </w:r>
      <w:r w:rsidRPr="00F77032">
        <w:rPr>
          <w:rFonts w:ascii="Times New Roman" w:eastAsia="Times New Roman" w:hAnsi="Times New Roman" w:cs="Times New Roman"/>
          <w:color w:val="000000"/>
          <w:kern w:val="0"/>
          <w14:ligatures w14:val="none"/>
        </w:rPr>
        <w:t> Instrumentos padronizados e conceitos clínicos para medir incapacidade, qualidade de vida e melhora percebida pelo paciente após tratamento da coluna.</w:t>
      </w:r>
      <w:r w:rsidRPr="00F77032">
        <w:rPr>
          <w:rFonts w:ascii="Times New Roman" w:eastAsia="Times New Roman" w:hAnsi="Times New Roman" w:cs="Times New Roman"/>
          <w:color w:val="000000"/>
          <w:kern w:val="0"/>
          <w14:ligatures w14:val="none"/>
        </w:rPr>
        <w:br/>
      </w:r>
      <w:r w:rsidRPr="00F77032">
        <w:rPr>
          <w:rFonts w:ascii="Times New Roman" w:eastAsia="Times New Roman" w:hAnsi="Times New Roman" w:cs="Times New Roman"/>
          <w:b/>
          <w:bCs/>
          <w:color w:val="000000"/>
          <w:kern w:val="0"/>
          <w14:ligatures w14:val="none"/>
        </w:rPr>
        <w:t>Slug:</w:t>
      </w:r>
      <w:r w:rsidRPr="00F77032">
        <w:rPr>
          <w:rFonts w:ascii="Times New Roman" w:eastAsia="Times New Roman" w:hAnsi="Times New Roman" w:cs="Times New Roman"/>
          <w:color w:val="000000"/>
          <w:kern w:val="0"/>
          <w14:ligatures w14:val="none"/>
        </w:rPr>
        <w:t> </w:t>
      </w:r>
      <w:r w:rsidRPr="00F77032">
        <w:rPr>
          <w:rFonts w:ascii="Courier New" w:eastAsia="Times New Roman" w:hAnsi="Courier New" w:cs="Courier New"/>
          <w:color w:val="000000"/>
          <w:kern w:val="0"/>
          <w:sz w:val="20"/>
          <w:szCs w:val="20"/>
          <w14:ligatures w14:val="none"/>
        </w:rPr>
        <w:t>avaliacao-resultados-cirurgia-coluna</w:t>
      </w:r>
    </w:p>
    <w:p w14:paraId="55B1C7EF" w14:textId="77777777" w:rsidR="00F77032" w:rsidRPr="00F77032" w:rsidRDefault="009C0497" w:rsidP="00F77032">
      <w:pPr>
        <w:spacing w:after="0" w:line="240" w:lineRule="auto"/>
        <w:rPr>
          <w:rFonts w:ascii="Times New Roman" w:eastAsia="Times New Roman" w:hAnsi="Times New Roman" w:cs="Times New Roman"/>
          <w:kern w:val="0"/>
          <w14:ligatures w14:val="none"/>
        </w:rPr>
      </w:pPr>
      <w:r w:rsidRPr="009C0497">
        <w:rPr>
          <w:rFonts w:ascii="Times New Roman" w:eastAsia="Times New Roman" w:hAnsi="Times New Roman" w:cs="Times New Roman"/>
          <w:noProof/>
          <w:kern w:val="0"/>
        </w:rPr>
        <w:pict w14:anchorId="3293BBBF">
          <v:rect id="_x0000_i1025" style="width:0;height:1.5pt" o:hralign="center" o:hrstd="t" o:hr="t" fillcolor="#a0a0a0" stroked="f"/>
        </w:pict>
      </w:r>
    </w:p>
    <w:p w14:paraId="04F8417D" w14:textId="77777777" w:rsidR="00F77032" w:rsidRDefault="00F77032"/>
    <w:sectPr w:rsidR="00F770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98435A"/>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43FF2"/>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23FB3"/>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B0812"/>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F7616"/>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D7A85"/>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154597"/>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93048C"/>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F539CD"/>
    <w:multiLevelType w:val="multilevel"/>
    <w:tmpl w:val="23CC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9999083">
    <w:abstractNumId w:val="2"/>
  </w:num>
  <w:num w:numId="2" w16cid:durableId="1063017753">
    <w:abstractNumId w:val="3"/>
  </w:num>
  <w:num w:numId="3" w16cid:durableId="577248490">
    <w:abstractNumId w:val="5"/>
  </w:num>
  <w:num w:numId="4" w16cid:durableId="1611476530">
    <w:abstractNumId w:val="1"/>
  </w:num>
  <w:num w:numId="5" w16cid:durableId="526254842">
    <w:abstractNumId w:val="0"/>
  </w:num>
  <w:num w:numId="6" w16cid:durableId="576088039">
    <w:abstractNumId w:val="7"/>
  </w:num>
  <w:num w:numId="7" w16cid:durableId="676537933">
    <w:abstractNumId w:val="8"/>
  </w:num>
  <w:num w:numId="8" w16cid:durableId="2134710462">
    <w:abstractNumId w:val="4"/>
  </w:num>
  <w:num w:numId="9" w16cid:durableId="10611808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032"/>
    <w:rsid w:val="002259EB"/>
    <w:rsid w:val="009C0497"/>
    <w:rsid w:val="00F77032"/>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61B5"/>
  <w15:chartTrackingRefBased/>
  <w15:docId w15:val="{97498D19-B531-CC43-A1D4-AB1ABED6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0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0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0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0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0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0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0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70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0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0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032"/>
    <w:rPr>
      <w:rFonts w:eastAsiaTheme="majorEastAsia" w:cstheme="majorBidi"/>
      <w:color w:val="272727" w:themeColor="text1" w:themeTint="D8"/>
    </w:rPr>
  </w:style>
  <w:style w:type="paragraph" w:styleId="Title">
    <w:name w:val="Title"/>
    <w:basedOn w:val="Normal"/>
    <w:next w:val="Normal"/>
    <w:link w:val="TitleChar"/>
    <w:uiPriority w:val="10"/>
    <w:qFormat/>
    <w:rsid w:val="00F77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032"/>
    <w:pPr>
      <w:spacing w:before="160"/>
      <w:jc w:val="center"/>
    </w:pPr>
    <w:rPr>
      <w:i/>
      <w:iCs/>
      <w:color w:val="404040" w:themeColor="text1" w:themeTint="BF"/>
    </w:rPr>
  </w:style>
  <w:style w:type="character" w:customStyle="1" w:styleId="QuoteChar">
    <w:name w:val="Quote Char"/>
    <w:basedOn w:val="DefaultParagraphFont"/>
    <w:link w:val="Quote"/>
    <w:uiPriority w:val="29"/>
    <w:rsid w:val="00F77032"/>
    <w:rPr>
      <w:i/>
      <w:iCs/>
      <w:color w:val="404040" w:themeColor="text1" w:themeTint="BF"/>
    </w:rPr>
  </w:style>
  <w:style w:type="paragraph" w:styleId="ListParagraph">
    <w:name w:val="List Paragraph"/>
    <w:basedOn w:val="Normal"/>
    <w:uiPriority w:val="34"/>
    <w:qFormat/>
    <w:rsid w:val="00F77032"/>
    <w:pPr>
      <w:ind w:left="720"/>
      <w:contextualSpacing/>
    </w:pPr>
  </w:style>
  <w:style w:type="character" w:styleId="IntenseEmphasis">
    <w:name w:val="Intense Emphasis"/>
    <w:basedOn w:val="DefaultParagraphFont"/>
    <w:uiPriority w:val="21"/>
    <w:qFormat/>
    <w:rsid w:val="00F77032"/>
    <w:rPr>
      <w:i/>
      <w:iCs/>
      <w:color w:val="0F4761" w:themeColor="accent1" w:themeShade="BF"/>
    </w:rPr>
  </w:style>
  <w:style w:type="paragraph" w:styleId="IntenseQuote">
    <w:name w:val="Intense Quote"/>
    <w:basedOn w:val="Normal"/>
    <w:next w:val="Normal"/>
    <w:link w:val="IntenseQuoteChar"/>
    <w:uiPriority w:val="30"/>
    <w:qFormat/>
    <w:rsid w:val="00F77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032"/>
    <w:rPr>
      <w:i/>
      <w:iCs/>
      <w:color w:val="0F4761" w:themeColor="accent1" w:themeShade="BF"/>
    </w:rPr>
  </w:style>
  <w:style w:type="character" w:styleId="IntenseReference">
    <w:name w:val="Intense Reference"/>
    <w:basedOn w:val="DefaultParagraphFont"/>
    <w:uiPriority w:val="32"/>
    <w:qFormat/>
    <w:rsid w:val="00F77032"/>
    <w:rPr>
      <w:b/>
      <w:bCs/>
      <w:smallCaps/>
      <w:color w:val="0F4761" w:themeColor="accent1" w:themeShade="BF"/>
      <w:spacing w:val="5"/>
    </w:rPr>
  </w:style>
  <w:style w:type="paragraph" w:customStyle="1" w:styleId="msonormal0">
    <w:name w:val="msonormal"/>
    <w:basedOn w:val="Normal"/>
    <w:rsid w:val="00F7703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770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77032"/>
  </w:style>
  <w:style w:type="character" w:styleId="Strong">
    <w:name w:val="Strong"/>
    <w:basedOn w:val="DefaultParagraphFont"/>
    <w:uiPriority w:val="22"/>
    <w:qFormat/>
    <w:rsid w:val="00F77032"/>
    <w:rPr>
      <w:b/>
      <w:bCs/>
    </w:rPr>
  </w:style>
  <w:style w:type="character" w:styleId="HTMLCode">
    <w:name w:val="HTML Code"/>
    <w:basedOn w:val="DefaultParagraphFont"/>
    <w:uiPriority w:val="99"/>
    <w:semiHidden/>
    <w:unhideWhenUsed/>
    <w:rsid w:val="00F770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52</Pages>
  <Words>17196</Words>
  <Characters>107820</Characters>
  <Application>Microsoft Office Word</Application>
  <DocSecurity>0</DocSecurity>
  <Lines>1925</Lines>
  <Paragraphs>899</Paragraphs>
  <ScaleCrop>false</ScaleCrop>
  <Company/>
  <LinksUpToDate>false</LinksUpToDate>
  <CharactersWithSpaces>124117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1</cp:revision>
  <dcterms:created xsi:type="dcterms:W3CDTF">2026-08-21T21:25:00Z</dcterms:created>
  <dcterms:modified xsi:type="dcterms:W3CDTF">2026-08-21T21:30:00Z</dcterms:modified>
</cp:coreProperties>
</file>