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AE66C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13 — Neurofisiologia no Diagnóstico das Patologias da Coluna</w:t>
      </w:r>
    </w:p>
    <w:p w14:paraId="5AB6804B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Identificação</w:t>
      </w:r>
    </w:p>
    <w:p w14:paraId="2664ACE4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Número do capítulo: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13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completo: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Neurofisiologia no Diagnóstico das Patologias da Coluna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Seção do Tratado: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não informada no arquivo fornecido; completar no sistema editorial.</w:t>
      </w:r>
    </w:p>
    <w:p w14:paraId="7F497307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Autores</w:t>
      </w:r>
    </w:p>
    <w:p w14:paraId="3FCEC955" w14:textId="77777777" w:rsidR="003A3325" w:rsidRPr="003A3325" w:rsidRDefault="003A3325" w:rsidP="003A33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Ricardo José Rodriguez Ferreira</w:t>
      </w:r>
    </w:p>
    <w:p w14:paraId="7B0E8A08" w14:textId="77777777" w:rsidR="003A3325" w:rsidRPr="003A3325" w:rsidRDefault="003A3325" w:rsidP="003A33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Patrícia Toscano Barreto Nogueira</w:t>
      </w:r>
    </w:p>
    <w:p w14:paraId="77D25209" w14:textId="77777777" w:rsidR="003A3325" w:rsidRPr="003A3325" w:rsidRDefault="003A3325" w:rsidP="003A33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Roberto Waldesmand Farias Pontes</w:t>
      </w:r>
    </w:p>
    <w:p w14:paraId="5AA20A25" w14:textId="77777777" w:rsidR="003A3325" w:rsidRPr="003A3325" w:rsidRDefault="00993BAE" w:rsidP="003A3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BAE">
        <w:rPr>
          <w:rFonts w:ascii="Times New Roman" w:eastAsia="Times New Roman" w:hAnsi="Times New Roman" w:cs="Times New Roman"/>
          <w:noProof/>
          <w:kern w:val="0"/>
        </w:rPr>
        <w:pict w14:anchorId="53F4E98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56C166B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Contexto</w:t>
      </w:r>
    </w:p>
    <w:p w14:paraId="6EA4CCB4" w14:textId="77777777" w:rsidR="003A3325" w:rsidRPr="00DD1DC4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D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neurofisiologia clínica complementa a anamnese, o exame neurológico e os exames de imagem ao demonstrar o funcionamento do sistema nervoso central e periférico. Nas patologias da coluna, seu principal papel ambulatorial está na investigação de radiculopatias, na estimativa da gravidade e da temporalidade da lesão e na diferenciação de neuropatias, plexopatias e doenças do neurônio motor. A eletroneuromiografia reúne estudos de condução nervosa e eletromiografia com agulha, modalidades complementares cujos resultados dependem da hipótese clínica, da seleção dos nervos e músculos e do momento em que o exame é realizado. O potencial de ação sensitivo tende a permanecer normal nas lesões radiculares pré-ganglionares, enquanto a eletromiografia identifica sinais de desnervação e reinervação. Entretanto, exames normais não excluem radiculopatia recente, puramente desmielinizante ou exclusivamente sensitiva. Os potenciais somatossensoriais evocados têm aplicação limitada nas radiculopatias, mas podem acrescentar informação em mielopatias sintomáticas. A interpretação final exige correlação clínica e radiológica.</w:t>
      </w:r>
    </w:p>
    <w:p w14:paraId="434DFA52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Objetivo do capítulo</w:t>
      </w:r>
    </w:p>
    <w:p w14:paraId="2188E90B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Apresentar os principais testes neurofisiológicos ambulatoriais empregados nas doenças da coluna e esclarecer o que cada método pode demonstrar e quais são suas limitações. Ao final, o leitor deverá compreender a composição da eletroneuromiografia, interpretar padrões pré e pós-ganglionares, reconhecer a contribuição temporal da eletromiografia com agulha, avaliar o papel dos potenciais evocados e utilizar o exame na diferenciação entre radiculopatias, neuropatias, plexopatias, mielopatias e doenças do neurônio motor.</w:t>
      </w:r>
    </w:p>
    <w:p w14:paraId="1C6108E4" w14:textId="77777777" w:rsidR="003A3325" w:rsidRPr="003A3325" w:rsidRDefault="00993BAE" w:rsidP="003A3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BAE">
        <w:rPr>
          <w:rFonts w:ascii="Times New Roman" w:eastAsia="Times New Roman" w:hAnsi="Times New Roman" w:cs="Times New Roman"/>
          <w:noProof/>
          <w:kern w:val="0"/>
        </w:rPr>
        <w:pict w14:anchorId="651798B9">
          <v:rect id="_x0000_i1032" style="width:0;height:1.5pt" o:hralign="center" o:hrstd="t" o:hr="t" fillcolor="#a0a0a0" stroked="f"/>
        </w:pict>
      </w:r>
    </w:p>
    <w:p w14:paraId="519EC7A7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Conteúdo principal</w:t>
      </w:r>
    </w:p>
    <w:p w14:paraId="535E2DAE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Eletroneuromiografia orientada pela hipótese clínica</w:t>
      </w:r>
    </w:p>
    <w:p w14:paraId="5F0B4825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eletroneuromiografia resulta da associação entre estudos de condução nervosa e eletromiografia com agulha. O capítulo a define como extensão do exame físico e ressalta que o encaminhamento deve conter dados clínicos e suspeita diagnóstica, complementados por breve anamnese e exame neurológico pelo neurofisiologista. O protocolo é dinâmico: os nervos e músculos selecionados variam conforme a hipótese, e os estudos de condução devem ser realizados bilateralmente para comparação.</w:t>
      </w:r>
    </w:p>
    <w:p w14:paraId="4EDBAEC6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Condução nervosa e localização da lesão</w:t>
      </w:r>
    </w:p>
    <w:p w14:paraId="5CCCBB05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condução motora avalia o potencial de ação muscular composto, a amplitude, a sincronia e a velocidade das fibras mais rápidas. Nas radiculopatias, pode permanecer normal ou pouco alterada, pois a lesão é proximal e a maior parte dos músculos recebe contribuição de mais de um miótomo. Ondas F e reflexo H acrescentam informação sobre segmentos proximais, mas possuem limitações.</w:t>
      </w:r>
    </w:p>
    <w:p w14:paraId="352F8788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condução sensitiva é decisiva no diagnóstico diferencial. Como a compressão radicular degenerativa costuma ocorrer proximalmente ao gânglio da raiz dorsal, o potencial de ação sensitivo (PAS) geralmente permanece normal. O esquema da Figura 3 contrapõe essa situação pré-ganglionar às lesões pós-ganglionares, nas quais ocorre degeneração distal e alteração do PAS. O capítulo descreve como exceções a radiculopatia de L5 em determinadas posições do gânglio e as hérnias extraforaminais.</w:t>
      </w:r>
    </w:p>
    <w:p w14:paraId="7B6F48A4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Eletromiografia com agulha e temporalidade</w:t>
      </w:r>
    </w:p>
    <w:p w14:paraId="7742AC6B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eletromiografia com agulha é o componente mais informativo para demonstrar comprometimento radicular com envolvimento axonal. O capítulo sugere avaliar pelo menos seis músculos, incluindo paravertebrais e músculos do mesmo miótomo inervados por nervos periféricos diferentes. Fibrilações e ondas agudas positivas indicam instabilidade de membrana em fibras desnervadas; durante a contração, morfologia, duração, amplitude, fases e recrutamento dos potenciais de ação de unidades motoras ajudam a classificar gravidade e curso como agudo, subagudo, crônico ou crônico agudizado. A Tabela 3 organiza essas alterações ao longo do tempo. Lesões muito recentes, puramente desmielinizantes ou restritas à raiz sensitiva podem produzir exame normal.</w:t>
      </w:r>
    </w:p>
    <w:p w14:paraId="53DD73D7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Situações específicas e potenciais evocados</w:t>
      </w:r>
    </w:p>
    <w:p w14:paraId="71B1D964" w14:textId="77777777" w:rsidR="003A3325" w:rsidRPr="00DD1DC4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D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eletroneuromiografia localiza o miótomo, não necessariamente o nível discal responsável; a distribuição das raízes na cauda equina e as variações anatômicas explicam possíveis discrepâncias com a imagem. Na estenose cervical, o exame não avalia diretamente o neurônio </w:t>
      </w:r>
      <w:r w:rsidRPr="00DD1D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motor superior, mas pode demonstrar comprometimento segmentar do neurônio motor inferior ou radiculopatia associada. Na estenose lombar, pode ser normal inicialmente e tornar-se multirradicular bilateral com a evolução. A avaliação torácica é possível, porém a inervação multissegmentar reduz a precisão e a agulha em músculos intercostais exige cautela pelo risco de pneumotórax.</w:t>
      </w:r>
      <w:r w:rsidRPr="00DD1D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Os potenciais somatossensoriais evocados (PESS) têm utilidade limitada nas radiculopatias e maior aplicação potencial em mielopatias sintomáticas com comprometimento das colunas posteriores. Para casos de dissociação clínico-radiológica na mielopatia cervical, o capítulo apresenta como proposta dos autores a Avaliação Neurofisiológica Multimodal Dinâmica Cervical (ANMDC), combinando PESS e potencial evocado motor por estimulação elétrica transcraniana em repouso, flexão, extensão e tração dos ombros. O texto não apresenta dados de validação do protocolo, que deve ser distinguido de uma recomendação estabelecida.</w:t>
      </w:r>
    </w:p>
    <w:p w14:paraId="4EEDCCCF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Aplicação clínica</w:t>
      </w:r>
    </w:p>
    <w:p w14:paraId="13D7083B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prática, a eletroneuromiografia é particularmente útil quando dor irradiada, fraqueza ou alteração sensitiva podem decorrer de mais de um nível ou de doenças diferentes. Na suspeita de radiculopatia, o estudo deve ser bilateral e incluir condução nervosa e amostragem adequada por agulha. PAS preservado favorece uma lesão pré-ganglionar; PAS alterado deve levar à investigação de plexopatia, neuropatia compressiva, polineuropatia ou outra lesão pós-ganglionar, reconhecendo as exceções descritas para L5 e hérnias extraforaminais.</w:t>
      </w:r>
    </w:p>
    <w:p w14:paraId="3B63698B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momento do exame modifica sua sensibilidade. Um resultado normal muito cedo, em lesão desmielinizante sem degeneração walleriana ou em comprometimento exclusivamente sensitivo não afasta radiculopatia. Além disso, o laudo deve ser correlacionado à imagem, pois o exame localiza o miótomo e não determina isoladamente o disco ou forame responsável.</w:t>
      </w:r>
    </w:p>
    <w:p w14:paraId="6FD4D67B" w14:textId="77777777" w:rsidR="003A3325" w:rsidRPr="00DD1DC4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D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Essa integração é decisiva em cenários como síndrome do túnel do carpo versus radiculopatia cervical, plexopatia braquial, possível síndrome do duplo esmagamento, mielopatia cervical versus doença do neurônio motor, amiotrofia diabética e pé caído por L5 versus neuropatia fibular na cabeça da fíbula. Na radiculopatia torácica, a seleção muscular e o risco de pneumotórax limitam o estudo. PESS deve ser reservado às perguntas que envolvem vias somatossensoriais centrais; a ANMDC, apresentada pelos autores, deve permanecer identificada como proposta ainda não validada no próprio capítulo.</w:t>
      </w:r>
    </w:p>
    <w:p w14:paraId="5335167B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Mensagem central</w:t>
      </w:r>
    </w:p>
    <w:p w14:paraId="36AC58CE" w14:textId="77777777" w:rsidR="003A3325" w:rsidRPr="00DD1DC4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DC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neurofisiologia acrescenta uma dimensão funcional à avaliação das doenças da coluna. A eletroneuromiografia pode localizar o miótomo comprometido, graduar a lesão, estimar sua fase evolutiva e separar radiculopatias de neuropatias, plexopatias e doenças do neurônio motor. Seu valor, porém, depende de técnica adequada, amostragem suficiente, momento oportuno e correlação obrigatória com a clínica e a imagem; um exame normal não exclui todas as formas de radiculopatia.</w:t>
      </w:r>
    </w:p>
    <w:p w14:paraId="0CD7B4CD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Por que este capítulo importa</w:t>
      </w:r>
    </w:p>
    <w:p w14:paraId="4A3FC768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Exames de imagem demonstram compressão e degeneração, mas não informam sozinhos se a alteração é funcionalmente relevante, ativa ou responsável pelos sintomas. Este capítulo mostra como condução nervosa, eletromiografia com agulha e potenciais evocados respondem perguntas diferentes. A distinção entre lesão pré-ganglionar e pós-ganglionar, o reconhecimento do tempo necessário para surgirem sinais de desnervação e a investigação de diagnósticos coexistentes podem modificar a interpretação de uma dor irradiada e evitar que uma neuropatia periférica, plexopatia ou doença do neurônio motor seja tratada como radiculopatia.</w:t>
      </w:r>
    </w:p>
    <w:p w14:paraId="0BD1BDB2" w14:textId="77777777" w:rsidR="003A3325" w:rsidRPr="003A3325" w:rsidRDefault="00993BAE" w:rsidP="003A3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BAE">
        <w:rPr>
          <w:rFonts w:ascii="Times New Roman" w:eastAsia="Times New Roman" w:hAnsi="Times New Roman" w:cs="Times New Roman"/>
          <w:noProof/>
          <w:kern w:val="0"/>
        </w:rPr>
        <w:pict w14:anchorId="39502CA6">
          <v:rect id="_x0000_i1031" style="width:0;height:1.5pt" o:hralign="center" o:hrstd="t" o:hr="t" fillcolor="#a0a0a0" stroked="f"/>
        </w:pict>
      </w:r>
    </w:p>
    <w:p w14:paraId="08671223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Palavras-chave e descritores</w:t>
      </w:r>
    </w:p>
    <w:p w14:paraId="752F6C3A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3601"/>
      </w:tblGrid>
      <w:tr w:rsidR="003A3325" w:rsidRPr="003A3325" w14:paraId="23081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7F105" w14:textId="77777777" w:rsidR="003A3325" w:rsidRPr="003A3325" w:rsidRDefault="003A3325" w:rsidP="003A3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43C621B6" w14:textId="77777777" w:rsidR="003A3325" w:rsidRPr="003A3325" w:rsidRDefault="003A3325" w:rsidP="003A3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MeSH — inglês</w:t>
            </w:r>
          </w:p>
        </w:tc>
      </w:tr>
      <w:tr w:rsidR="003A3325" w:rsidRPr="003A3325" w14:paraId="622FE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A200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Eletrodiagnóstico</w:t>
            </w:r>
          </w:p>
        </w:tc>
        <w:tc>
          <w:tcPr>
            <w:tcW w:w="0" w:type="auto"/>
            <w:vAlign w:val="center"/>
            <w:hideMark/>
          </w:tcPr>
          <w:p w14:paraId="5A0A8F7F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Electrodiagnosis</w:t>
            </w:r>
          </w:p>
        </w:tc>
      </w:tr>
      <w:tr w:rsidR="003A3325" w:rsidRPr="003A3325" w14:paraId="71149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DEB5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Eletromiografia</w:t>
            </w:r>
          </w:p>
        </w:tc>
        <w:tc>
          <w:tcPr>
            <w:tcW w:w="0" w:type="auto"/>
            <w:vAlign w:val="center"/>
            <w:hideMark/>
          </w:tcPr>
          <w:p w14:paraId="0383C476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Electromyography</w:t>
            </w:r>
          </w:p>
        </w:tc>
      </w:tr>
      <w:tr w:rsidR="003A3325" w:rsidRPr="003A3325" w14:paraId="30208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956D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Estudos de Condução Nervosa</w:t>
            </w:r>
          </w:p>
        </w:tc>
        <w:tc>
          <w:tcPr>
            <w:tcW w:w="0" w:type="auto"/>
            <w:vAlign w:val="center"/>
            <w:hideMark/>
          </w:tcPr>
          <w:p w14:paraId="3D603D68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Nerve Conduction Studies</w:t>
            </w:r>
          </w:p>
        </w:tc>
      </w:tr>
      <w:tr w:rsidR="003A3325" w:rsidRPr="003A3325" w14:paraId="2EBD5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5495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Radiculopatia</w:t>
            </w:r>
          </w:p>
        </w:tc>
        <w:tc>
          <w:tcPr>
            <w:tcW w:w="0" w:type="auto"/>
            <w:vAlign w:val="center"/>
            <w:hideMark/>
          </w:tcPr>
          <w:p w14:paraId="0E7EBA4A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Radiculopathy</w:t>
            </w:r>
          </w:p>
        </w:tc>
      </w:tr>
      <w:tr w:rsidR="003A3325" w:rsidRPr="003A3325" w14:paraId="4A1B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4A75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Potenciais Somatossensoriais Evocados</w:t>
            </w:r>
          </w:p>
        </w:tc>
        <w:tc>
          <w:tcPr>
            <w:tcW w:w="0" w:type="auto"/>
            <w:vAlign w:val="center"/>
            <w:hideMark/>
          </w:tcPr>
          <w:p w14:paraId="572F3BF3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Evoked Potentials, Somatosensory</w:t>
            </w:r>
          </w:p>
        </w:tc>
      </w:tr>
      <w:tr w:rsidR="003A3325" w:rsidRPr="003A3325" w14:paraId="630C4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DA37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Potencial Evocado Motor</w:t>
            </w:r>
          </w:p>
        </w:tc>
        <w:tc>
          <w:tcPr>
            <w:tcW w:w="0" w:type="auto"/>
            <w:vAlign w:val="center"/>
            <w:hideMark/>
          </w:tcPr>
          <w:p w14:paraId="7AA33A9B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Evoked Potentials, Motor</w:t>
            </w:r>
          </w:p>
        </w:tc>
      </w:tr>
      <w:tr w:rsidR="003A3325" w:rsidRPr="003A3325" w14:paraId="7252B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9506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Diagnóstico Diferencial</w:t>
            </w:r>
          </w:p>
        </w:tc>
        <w:tc>
          <w:tcPr>
            <w:tcW w:w="0" w:type="auto"/>
            <w:vAlign w:val="center"/>
            <w:hideMark/>
          </w:tcPr>
          <w:p w14:paraId="5F9F0369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Diagnosis, Differential</w:t>
            </w:r>
          </w:p>
        </w:tc>
      </w:tr>
      <w:tr w:rsidR="003A3325" w:rsidRPr="003A3325" w14:paraId="1B15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C69D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Doenças do Sistema Nervoso Periférico</w:t>
            </w:r>
          </w:p>
        </w:tc>
        <w:tc>
          <w:tcPr>
            <w:tcW w:w="0" w:type="auto"/>
            <w:vAlign w:val="center"/>
            <w:hideMark/>
          </w:tcPr>
          <w:p w14:paraId="710655C4" w14:textId="77777777" w:rsidR="003A3325" w:rsidRPr="003A3325" w:rsidRDefault="003A3325" w:rsidP="003A33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33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Peripheral Nervous System Diseases</w:t>
            </w:r>
          </w:p>
        </w:tc>
      </w:tr>
    </w:tbl>
    <w:p w14:paraId="1E043986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Palavras-chave livres adicionais</w:t>
      </w:r>
    </w:p>
    <w:p w14:paraId="231F85C6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Eletroneuromiografia; potencial de ação sensitivo; potencial de ação muscular composto; potenciais de ação de unidades motoras; onda F; reflexo H; degeneração walleriana; Avaliação Neurofisiológica Multimodal Dinâmica Cervical; síndrome do duplo esmagamento.</w:t>
      </w:r>
    </w:p>
    <w:p w14:paraId="5B6DEAB4" w14:textId="77777777" w:rsidR="003A3325" w:rsidRPr="003A3325" w:rsidRDefault="00993BAE" w:rsidP="003A3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BAE">
        <w:rPr>
          <w:rFonts w:ascii="Times New Roman" w:eastAsia="Times New Roman" w:hAnsi="Times New Roman" w:cs="Times New Roman"/>
          <w:noProof/>
          <w:kern w:val="0"/>
        </w:rPr>
        <w:pict w14:anchorId="1E36FAAD">
          <v:rect id="_x0000_i1030" style="width:0;height:1.5pt" o:hralign="center" o:hrstd="t" o:hr="t" fillcolor="#a0a0a0" stroked="f"/>
        </w:pict>
      </w:r>
    </w:p>
    <w:p w14:paraId="22D1F4B4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Três cards de destaque</w:t>
      </w:r>
    </w:p>
    <w:p w14:paraId="6BA553C9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1 — Conceito essencial</w:t>
      </w:r>
    </w:p>
    <w:p w14:paraId="408C4147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Dois métodos, uma interpretação</w:t>
      </w:r>
    </w:p>
    <w:p w14:paraId="5FB112FD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eletroneuromiografia combina condução nervosa e eletromiografia com agulha. A primeira caracteriza nervos periféricos, respostas tardias e reflexos; a segunda demonstra desnervação, 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reinervação e recrutamento muscular. O diagnóstico de radiculopatia depende da integração entre as duas modalidades, da hipótese clínica e da seleção apropriada dos músculos.</w:t>
      </w:r>
    </w:p>
    <w:p w14:paraId="273257B7" w14:textId="77777777" w:rsidR="003A3325" w:rsidRPr="003A3325" w:rsidRDefault="00993BAE" w:rsidP="003A3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BAE">
        <w:rPr>
          <w:rFonts w:ascii="Times New Roman" w:eastAsia="Times New Roman" w:hAnsi="Times New Roman" w:cs="Times New Roman"/>
          <w:noProof/>
          <w:kern w:val="0"/>
        </w:rPr>
        <w:pict w14:anchorId="4E68CB5B">
          <v:rect id="_x0000_i1029" style="width:0;height:1.5pt" o:hralign="center" o:hrstd="t" o:hr="t" fillcolor="#a0a0a0" stroked="f"/>
        </w:pict>
      </w:r>
    </w:p>
    <w:p w14:paraId="515BDF39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2 — Decisão clínica</w:t>
      </w:r>
    </w:p>
    <w:p w14:paraId="4C8F5C15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Leia o PAS primeiro</w:t>
      </w:r>
    </w:p>
    <w:p w14:paraId="32CC6B52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maioria das radiculopatias degenerativas, o PAS permanece normal porque a compressão é pré-ganglionar. Quando ele está alterado, amplie o exame e considere plexopatia, neuropatia compressiva ou outra lesão pós-ganglionar. L5 e hérnias extraforaminais constituem exceções importantes descritas no capítulo.</w:t>
      </w:r>
    </w:p>
    <w:p w14:paraId="673DEC86" w14:textId="77777777" w:rsidR="003A3325" w:rsidRPr="003A3325" w:rsidRDefault="00993BAE" w:rsidP="003A3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BAE">
        <w:rPr>
          <w:rFonts w:ascii="Times New Roman" w:eastAsia="Times New Roman" w:hAnsi="Times New Roman" w:cs="Times New Roman"/>
          <w:noProof/>
          <w:kern w:val="0"/>
        </w:rPr>
        <w:pict w14:anchorId="425ECFCE">
          <v:rect id="_x0000_i1028" style="width:0;height:1.5pt" o:hralign="center" o:hrstd="t" o:hr="t" fillcolor="#a0a0a0" stroked="f"/>
        </w:pict>
      </w:r>
    </w:p>
    <w:p w14:paraId="4DA7B250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3 — Pérola ou alerta</w:t>
      </w:r>
    </w:p>
    <w:p w14:paraId="3570748A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Exame normal não exclui</w:t>
      </w:r>
    </w:p>
    <w:p w14:paraId="3633A4EE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ausência de alterações não exclui radiculopatia recente, puramente desmielinizante ou exclusivamente sensitiva. Amostrar poucos músculos, omitir paravertebrais ou escolher músculos do mesmo nervo periférico reduz a capacidade de localização. O rendimento do exame depende tanto do momento quanto da técnica e da experiência do examinador.</w:t>
      </w:r>
    </w:p>
    <w:p w14:paraId="764B0D48" w14:textId="77777777" w:rsidR="003A3325" w:rsidRPr="003A3325" w:rsidRDefault="00993BAE" w:rsidP="003A3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BAE">
        <w:rPr>
          <w:rFonts w:ascii="Times New Roman" w:eastAsia="Times New Roman" w:hAnsi="Times New Roman" w:cs="Times New Roman"/>
          <w:noProof/>
          <w:kern w:val="0"/>
        </w:rPr>
        <w:pict w14:anchorId="12E94D89">
          <v:rect id="_x0000_i1027" style="width:0;height:1.5pt" o:hralign="center" o:hrstd="t" o:hr="t" fillcolor="#a0a0a0" stroked="f"/>
        </w:pict>
      </w:r>
    </w:p>
    <w:p w14:paraId="384986A8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Referências bibliográficas</w:t>
      </w:r>
    </w:p>
    <w:p w14:paraId="0F48AF2C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Preston DC, Shapiro BE. Electromyography and neuromuscular disorders: clinical-electrophysiologic-ultrasound correlations. 4th ed. Philadelphia: Elsevier; 2021.</w:t>
      </w:r>
    </w:p>
    <w:p w14:paraId="7274DF35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Dillingham TR, et al. Evaluation of persons with suspected lumbosacral and cervical radiculopathy: electrodiagnostic assessment and implications for treatment and outcomes. Part I. Muscle Nerve. 2020 Oct;62(4):462-73. doi:10.1002/mus.26997.</w:t>
      </w:r>
    </w:p>
    <w:p w14:paraId="08A3E540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DePalma MJ, et al. What is the source of chronic low back pain and does age play a role? Pain Med. 2011 Feb;12(2):224-33. doi:10.1111/j.1526-4637.2010.01045.x.</w:t>
      </w:r>
    </w:p>
    <w:p w14:paraId="129E786F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Manchikanti L, et al. Evaluation of the relative contributions of various structures in chronic low back pain. Pain Physician. 2001 Oct;4(4):308-16. Erratum in: Pain Physician. 2002 Jan;5(1):114.</w:t>
      </w:r>
    </w:p>
    <w:p w14:paraId="647EE5EE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Dumitru D, Zwarts MJ. Radiculopathies. In: Dumitru D, et al. Electrodiagnostic medicine. 2nd ed. Philadelphia: Hanley &amp; Belfus; 2002. p. 713-776.</w:t>
      </w:r>
    </w:p>
    <w:p w14:paraId="7347D0B9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Jerath N, Kimura J. F wave, A wave, H reflex, and blink reflex. Handb Clin Neurol. 2019;160:225-39. doi:10.1016/B978-0-444-64032-1.00015-1.</w:t>
      </w:r>
    </w:p>
    <w:p w14:paraId="251F2D50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Preston DC, Shapiro BE. Radiculopathy. In: Electromyography and neuromuscular disorders: clinical-electrophysiologic-ultrasound correlations. 4th ed. Philadelphia: Elsevier; 2021. p. 557-576.</w:t>
      </w:r>
    </w:p>
    <w:p w14:paraId="381A2350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Dillingham TR. Evaluating the patient with suspected radiculopathy. PM R. 2013 May;5(5 Suppl):S41-9. doi:10.1016/j.pmrj.2013.03.015.</w:t>
      </w:r>
    </w:p>
    <w:p w14:paraId="5DC99851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Gupta R, et al. Human motor endplate remodeling after traumatic nerve injury. J Neurosurg. 2020 Sep 18;135(1):220-7. doi:10.3171/2020.8.JNS201461.</w:t>
      </w:r>
    </w:p>
    <w:p w14:paraId="19E5369E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Park JH, et al. Electrodiagnostic characteristics of upper lumbar stenosis: discrepancy between neurological and structural levels. Muscle Nerve. 2020 May;61(5):580-6. doi:10.1002/mus.26844.</w:t>
      </w:r>
    </w:p>
    <w:p w14:paraId="096D010D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Boogaarts HD, Bartels RH. Prevalence of cervical spondylotic myelopathy. Eur Spine J. 2015 Apr;24 Suppl 2:139-41. doi:10.1007/s00586-013-2781-x.</w:t>
      </w:r>
    </w:p>
    <w:p w14:paraId="35CE054C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Woods BI, Hilibrand AS. Cervical radiculopathy: epidemiology, etiology, diagnosis, and treatment. J Spinal Disord Tech. 2015 Jun;28(5):E251-9. doi:10.1097/BSD.0000000000000284.</w:t>
      </w:r>
    </w:p>
    <w:p w14:paraId="3BAE0994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Cavazos DR, et al. Neuroforaminal stenosis in the lumbosacral spine: a scoping review of pathophysiology, clinical manifestations, diagnostic imaging, and treatment. Spartan Med Res J. 2023 Dec 5;8(1):87848. doi:10.51894/001c.87848.</w:t>
      </w:r>
    </w:p>
    <w:p w14:paraId="1EB24BDC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Court C, et al. Thoracic disc herniation: surgical treatment. Orthop Traumatol Surg Res. 2018 Feb;104(1 Suppl):S31-S40. doi:10.1016/j.otsr.2017.04.022.</w:t>
      </w:r>
    </w:p>
    <w:p w14:paraId="3914E946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Frey SE, Riggs JE. Diabetic truncal neuropathy—clinical and radiological image. Diabetes Care. 2021 Sep 21:dc211235. doi:10.2337/dc21-1235.</w:t>
      </w:r>
    </w:p>
    <w:p w14:paraId="7245FEAA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Saal JA, Firtch W, Saal JS, Herzog RJ. The value of somatosensory evoked potential testing for upper lumbar radiculopathy: a correlation of electrophysiologic and anatomic data. Spine (Phila Pa 1976). 1992 Jun;17(6 Suppl):S133-7. doi:10.1097/00007632-199206001-00012.</w:t>
      </w:r>
    </w:p>
    <w:p w14:paraId="0247B09B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Kimura J. Somatosensory evoked potential. In: Electrodiagnosis in diseases of nerve and muscle: principles and practice. 4th ed. New York: Oxford; 2013. p. 477-510.</w:t>
      </w:r>
    </w:p>
    <w:p w14:paraId="134ECC8E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Chiou-Tan FY. Musculoskeletal mimics of cervical radiculopathy. Muscle Nerve. 2022 Jul;66(1):6-14. doi:10.1002/mus.27553.</w:t>
      </w:r>
    </w:p>
    <w:p w14:paraId="510A1770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Smith CC, Bevelaqua AC. Challenging pain syndromes: Parsonage-Turner syndrome. Phys Med Rehabil Clin N Am. 2014 May;25(2):265-77. doi:10.1016/j.pmr.2014.01.001.</w:t>
      </w:r>
    </w:p>
    <w:p w14:paraId="0B3208D8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Upton AR, McComas AJ. The double crush in nerve entrapment syndromes. Lancet. 1973 Aug 18;2(7825):359-62. doi:10.1016/S0140-6736(73)93196-6.</w:t>
      </w:r>
    </w:p>
    <w:p w14:paraId="198A0230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Gullborg EJ, et al. Surgical management of double crush syndrome: outcomes of cervical decompression with and without peripheral nerve release. J Hand Surg Glob Online. 2025 Jun 19;7(5):100770. doi:10.1016/j.jhsg.2025.100770.</w:t>
      </w:r>
    </w:p>
    <w:p w14:paraId="5E82BC5C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Xiong C, et al. Dynamic evaluation of the cervical spine and the spinal cord of symptomatic patients using a kinetic magnetic resonance imaging technique. Clin Spine Surg. 2017 Oct;30(8):E1149-E1155. doi:10.1097/BSD.0000000000000429.</w:t>
      </w:r>
    </w:p>
    <w:p w14:paraId="5880F5DA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Ferreira RJR, et al. Cervical spinal surgery. In: Verst S, et al. Intraoperative monitoring neurophysiology and surgical approaches. Springer; 2022. p. 513-538.</w:t>
      </w:r>
    </w:p>
    <w:p w14:paraId="6664A3A1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Siebner HR, et al. Transcranial magnetic stimulation of the brain: what is stimulated? A consensus and critical position paper. Clin Neurophysiol. 2022 Aug;140:59-97. doi:10.1016/j.clinph.2022.04.022.</w:t>
      </w:r>
    </w:p>
    <w:p w14:paraId="3DE645DC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Izenberg A. Amyotrophic lateral sclerosis and other motor neuron diseases. Continuum (Minneap Minn). 2023 Oct 1;29(5):1538-63. doi:10.1212/CON.0000000000001345.</w:t>
      </w:r>
    </w:p>
    <w:p w14:paraId="4612D1C1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Torrieri MC, et al. Comorbidity of cervical spondylogenic myelopathy and amyotrophic lateral sclerosis: when electromyography makes the difference in diagnosis. Eur Neurol. 2020;83(6):626-9. doi:10.1159/000512269.</w:t>
      </w:r>
    </w:p>
    <w:p w14:paraId="5B05A1DE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Glenn MD, Jabari D. Diabetic lumbosacral radiculoplexus neuropathy—diabetic amyotrophy. Neurol Clin. 2020 Aug;38(3):553-64. doi:10.1016/j.ncl.2020.03.010.</w:t>
      </w:r>
    </w:p>
    <w:p w14:paraId="021FA9CE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Jorgensen SP, Chiodo AE. Musculoskeletal mimics for lumbosacral radiculopathy. Part 2: specific disorders. Muscle Nerve. 2025 Jan;71(1):22-8. doi:10.1002/mus.28279.</w:t>
      </w:r>
    </w:p>
    <w:p w14:paraId="13C1E362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Miller TA, Ross DC. Sciatic and tibial neuropathies. Handb Clin Neurol. 2024;201:165-81. doi:10.1016/B978-0-323-90108-6.00003-X.</w:t>
      </w:r>
    </w:p>
    <w:p w14:paraId="103CEC24" w14:textId="77777777" w:rsidR="003A3325" w:rsidRPr="003A3325" w:rsidRDefault="003A3325" w:rsidP="003A3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Peselzon O, Colditz M, Maclachlan LR. L5 mononeuritis, an uncommon cause of foot drop: illustrative case. J Neurosurg Case Lessons. 2023 Jan 30;5(5):CASE22499. doi:10.3171/CASE22499.</w:t>
      </w:r>
    </w:p>
    <w:p w14:paraId="2C885F8B" w14:textId="77777777" w:rsidR="003A3325" w:rsidRPr="003A3325" w:rsidRDefault="00993BAE" w:rsidP="003A3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BAE">
        <w:rPr>
          <w:rFonts w:ascii="Times New Roman" w:eastAsia="Times New Roman" w:hAnsi="Times New Roman" w:cs="Times New Roman"/>
          <w:noProof/>
          <w:kern w:val="0"/>
        </w:rPr>
        <w:pict w14:anchorId="0F57DE7D">
          <v:rect id="_x0000_i1026" style="width:0;height:1.5pt" o:hralign="center" o:hrstd="t" o:hr="t" fillcolor="#a0a0a0" stroked="f"/>
        </w:pict>
      </w:r>
    </w:p>
    <w:p w14:paraId="06C62CD8" w14:textId="77777777" w:rsidR="003A3325" w:rsidRPr="003A3325" w:rsidRDefault="003A3325" w:rsidP="003A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Metadados para publicação</w:t>
      </w:r>
    </w:p>
    <w:p w14:paraId="7BB309AC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SEO: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Neurofisiologia no diagnóstico da coluna | Tratado</w:t>
      </w:r>
    </w:p>
    <w:p w14:paraId="1E86F5F6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descrição: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Entenda como a eletroneuromiografia, a condução nervosa, a eletromiografia e os potenciais evocados auxiliam no diagnóstico das doenças da coluna vertebral.</w:t>
      </w:r>
    </w:p>
    <w:p w14:paraId="3A969630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Resumo de chamada: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Síntese dos testes neurofisiológicos que localizam radiculopatias, estimam gravidade e tempo de lesão e diferenciam neuropatias, plexopatias e mielopatias na prática clínica.</w:t>
      </w:r>
    </w:p>
    <w:p w14:paraId="3E0C95A4" w14:textId="77777777" w:rsidR="003A3325" w:rsidRPr="003A3325" w:rsidRDefault="003A3325" w:rsidP="003A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33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Sugestão de slug:</w:t>
      </w:r>
      <w:r w:rsidRPr="003A33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A332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neurofisiologia-diagnostico-patologias-coluna</w:t>
      </w:r>
    </w:p>
    <w:p w14:paraId="03D58521" w14:textId="77777777" w:rsidR="003A3325" w:rsidRPr="003A3325" w:rsidRDefault="00993BAE" w:rsidP="003A3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BAE">
        <w:rPr>
          <w:rFonts w:ascii="Times New Roman" w:eastAsia="Times New Roman" w:hAnsi="Times New Roman" w:cs="Times New Roman"/>
          <w:noProof/>
          <w:kern w:val="0"/>
        </w:rPr>
        <w:pict w14:anchorId="3DB843BB">
          <v:rect id="_x0000_i1025" style="width:0;height:1.5pt" o:hralign="center" o:hrstd="t" o:hr="t" fillcolor="#a0a0a0" stroked="f"/>
        </w:pict>
      </w:r>
    </w:p>
    <w:p w14:paraId="0DB485CB" w14:textId="77777777" w:rsidR="003A3325" w:rsidRDefault="003A3325"/>
    <w:sectPr w:rsidR="003A33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201F15"/>
    <w:multiLevelType w:val="multilevel"/>
    <w:tmpl w:val="62B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9D5BBE"/>
    <w:multiLevelType w:val="multilevel"/>
    <w:tmpl w:val="B64C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075C3"/>
    <w:multiLevelType w:val="multilevel"/>
    <w:tmpl w:val="F560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663FD"/>
    <w:multiLevelType w:val="multilevel"/>
    <w:tmpl w:val="4E7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374264">
    <w:abstractNumId w:val="3"/>
  </w:num>
  <w:num w:numId="2" w16cid:durableId="529495957">
    <w:abstractNumId w:val="2"/>
  </w:num>
  <w:num w:numId="3" w16cid:durableId="538133265">
    <w:abstractNumId w:val="1"/>
  </w:num>
  <w:num w:numId="4" w16cid:durableId="5849214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25"/>
    <w:rsid w:val="003A3325"/>
    <w:rsid w:val="006F6E99"/>
    <w:rsid w:val="00993BAE"/>
    <w:rsid w:val="00DD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C26F7"/>
  <w15:chartTrackingRefBased/>
  <w15:docId w15:val="{62073F15-D380-4B4A-90A4-2970112D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3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3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3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3325"/>
    <w:rPr>
      <w:b/>
      <w:bCs/>
    </w:rPr>
  </w:style>
  <w:style w:type="character" w:customStyle="1" w:styleId="apple-converted-space">
    <w:name w:val="apple-converted-space"/>
    <w:basedOn w:val="DefaultParagraphFont"/>
    <w:rsid w:val="003A3325"/>
  </w:style>
  <w:style w:type="character" w:styleId="HTMLCode">
    <w:name w:val="HTML Code"/>
    <w:basedOn w:val="DefaultParagraphFont"/>
    <w:uiPriority w:val="99"/>
    <w:semiHidden/>
    <w:unhideWhenUsed/>
    <w:rsid w:val="003A33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2525</Words>
  <Characters>13509</Characters>
  <Application>Microsoft Office Word</Application>
  <DocSecurity>0</DocSecurity>
  <Lines>540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2026-08-19T14:37:00Z</dcterms:created>
  <dcterms:modified xsi:type="dcterms:W3CDTF">2026-08-19T16:12:00Z</dcterms:modified>
</cp:coreProperties>
</file>