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AE6467" w14:textId="77777777" w:rsidR="009030FC" w:rsidRPr="009030FC" w:rsidRDefault="009030FC" w:rsidP="009030F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030FC">
        <w:rPr>
          <w:rFonts w:ascii="Times New Roman" w:eastAsia="Times New Roman" w:hAnsi="Times New Roman" w:cs="Times New Roman"/>
          <w:b/>
          <w:bCs/>
          <w:color w:val="000000"/>
          <w:kern w:val="36"/>
          <w:sz w:val="48"/>
          <w:szCs w:val="48"/>
          <w14:ligatures w14:val="none"/>
        </w:rPr>
        <w:t>Capítulo 15 — Diagnóstico por Imagem da Coluna Vertebral</w:t>
      </w:r>
    </w:p>
    <w:p w14:paraId="584E9B4F"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Identificação</w:t>
      </w:r>
    </w:p>
    <w:p w14:paraId="5AA90202" w14:textId="53684F1C"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Número do capítulo:</w:t>
      </w:r>
      <w:r w:rsidRPr="009030FC">
        <w:rPr>
          <w:rFonts w:ascii="Times New Roman" w:eastAsia="Times New Roman" w:hAnsi="Times New Roman" w:cs="Times New Roman"/>
          <w:color w:val="000000"/>
          <w:kern w:val="0"/>
          <w14:ligatures w14:val="none"/>
        </w:rPr>
        <w:t> 15</w:t>
      </w:r>
      <w:r w:rsidRPr="009030FC">
        <w:rPr>
          <w:rFonts w:ascii="Times New Roman" w:eastAsia="Times New Roman" w:hAnsi="Times New Roman" w:cs="Times New Roman"/>
          <w:color w:val="000000"/>
          <w:kern w:val="0"/>
          <w14:ligatures w14:val="none"/>
        </w:rPr>
        <w:br/>
      </w:r>
      <w:r w:rsidRPr="009030FC">
        <w:rPr>
          <w:rFonts w:ascii="Times New Roman" w:eastAsia="Times New Roman" w:hAnsi="Times New Roman" w:cs="Times New Roman"/>
          <w:b/>
          <w:bCs/>
          <w:color w:val="000000"/>
          <w:kern w:val="0"/>
          <w14:ligatures w14:val="none"/>
        </w:rPr>
        <w:t>Título completo:</w:t>
      </w:r>
      <w:r w:rsidRPr="009030FC">
        <w:rPr>
          <w:rFonts w:ascii="Times New Roman" w:eastAsia="Times New Roman" w:hAnsi="Times New Roman" w:cs="Times New Roman"/>
          <w:color w:val="000000"/>
          <w:kern w:val="0"/>
          <w14:ligatures w14:val="none"/>
        </w:rPr>
        <w:t> Diagnóstico por Imagem da Coluna Vertebral</w:t>
      </w:r>
      <w:r w:rsidRPr="009030FC">
        <w:rPr>
          <w:rFonts w:ascii="Times New Roman" w:eastAsia="Times New Roman" w:hAnsi="Times New Roman" w:cs="Times New Roman"/>
          <w:color w:val="000000"/>
          <w:kern w:val="0"/>
          <w14:ligatures w14:val="none"/>
        </w:rPr>
        <w:br/>
      </w:r>
      <w:r w:rsidRPr="009030FC">
        <w:rPr>
          <w:rFonts w:ascii="Times New Roman" w:eastAsia="Times New Roman" w:hAnsi="Times New Roman" w:cs="Times New Roman"/>
          <w:b/>
          <w:bCs/>
          <w:color w:val="000000"/>
          <w:kern w:val="0"/>
          <w14:ligatures w14:val="none"/>
        </w:rPr>
        <w:t>Seção do Tratado:</w:t>
      </w:r>
      <w:r w:rsidRPr="009030FC">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2</w:t>
      </w:r>
      <w:r w:rsidRPr="009030FC">
        <w:rPr>
          <w:rFonts w:ascii="Times New Roman" w:eastAsia="Times New Roman" w:hAnsi="Times New Roman" w:cs="Times New Roman"/>
          <w:color w:val="000000"/>
          <w:kern w:val="0"/>
          <w14:ligatures w14:val="none"/>
        </w:rPr>
        <w:t>.</w:t>
      </w:r>
    </w:p>
    <w:p w14:paraId="20BEFE8A"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Autores</w:t>
      </w:r>
    </w:p>
    <w:p w14:paraId="5A37B89E" w14:textId="77777777" w:rsidR="009030FC" w:rsidRPr="009030FC" w:rsidRDefault="009030FC" w:rsidP="009030F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Marcello Henrique Nogueira-Barbosa</w:t>
      </w:r>
    </w:p>
    <w:p w14:paraId="26B25FFD" w14:textId="77777777" w:rsidR="009030FC" w:rsidRPr="009030FC" w:rsidRDefault="009030FC" w:rsidP="009030F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Guilherme Naves</w:t>
      </w:r>
    </w:p>
    <w:p w14:paraId="2419378A"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07C13C1E">
          <v:rect id="_x0000_i1037" alt="" style="width:468pt;height:.05pt;mso-width-percent:0;mso-height-percent:0;mso-width-percent:0;mso-height-percent:0" o:hralign="center" o:hrstd="t" o:hr="t" fillcolor="#a0a0a0" stroked="f"/>
        </w:pict>
      </w:r>
    </w:p>
    <w:p w14:paraId="76747FAC"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Contexto</w:t>
      </w:r>
    </w:p>
    <w:p w14:paraId="6E52E1D1"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Os métodos de imagem da coluna vertebral respondem a perguntas diferentes e devem ser escolhidos conforme a estrutura de interesse, a posição funcional do paciente e a hipótese clínica. Radiografias simples mantêm valor central por demonstrarem osso, articulações, deformidades e instabilidade sob carga. A tomografia computadorizada amplia a avaliação da anatomia óssea sem superposição, enquanto a ressonância magnética oferece maior contraste para medula espinhal, raízes, medula óssea, discos e tecidos moles. A ultrassonografia tem aplicação restrita pelo bloqueio acústico do osso, mas é útil em recém-nascidos, coleções superficiais e procedimentos guiados. A cintilografia mostra alterações da remodelação e perfusão ósseas, embora frequentemente seja inespecífica. O principal desafio é evitar tanto a escolha inadequada do método quanto a superinterpretação de achados: alterações degenerativas, hérnias discais, Modic e lesões benignas são comuns e nem sempre explicam sintomas. A imagem deve, portanto, permanecer integrada à avaliação clínica e à pergunta diagnóstica.</w:t>
      </w:r>
    </w:p>
    <w:p w14:paraId="7CAE042F"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1DE9C13A">
          <v:rect id="_x0000_i1036" alt="" style="width:468pt;height:.05pt;mso-width-percent:0;mso-height-percent:0;mso-width-percent:0;mso-height-percent:0" o:hralign="center" o:hrstd="t" o:hr="t" fillcolor="#a0a0a0" stroked="f"/>
        </w:pict>
      </w:r>
    </w:p>
    <w:p w14:paraId="3AE3899E"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Objetivo do capítulo</w:t>
      </w:r>
    </w:p>
    <w:p w14:paraId="462346B1"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Apresentar os princípios, indicações, vantagens e limitações das principais modalidades de imagem da coluna e demonstrar sua aplicação em doenças degenerativas, estenose, hiperostose, espondiloartrite, infecção, trauma e achados incidentais. O leitor deverá selecionar o método mais apropriado, reconhecer padrões morfológicos e compreender quando contraste, estudos dinâmicos ou métodos complementares acrescentam informação relevante.</w:t>
      </w:r>
    </w:p>
    <w:p w14:paraId="525BDB67"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248D9755">
          <v:rect id="_x0000_i1035" style="width:0;height:1.5pt" o:hralign="center" o:hrstd="t" o:hr="t" fillcolor="#a0a0a0" stroked="f"/>
        </w:pict>
      </w:r>
    </w:p>
    <w:p w14:paraId="28FCD5DC" w14:textId="77777777" w:rsidR="009030FC" w:rsidRPr="009030FC" w:rsidRDefault="009030FC" w:rsidP="009030F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030FC">
        <w:rPr>
          <w:rFonts w:ascii="Times New Roman" w:eastAsia="Times New Roman" w:hAnsi="Times New Roman" w:cs="Times New Roman"/>
          <w:b/>
          <w:bCs/>
          <w:color w:val="000000"/>
          <w:kern w:val="36"/>
          <w:sz w:val="48"/>
          <w:szCs w:val="48"/>
          <w14:ligatures w14:val="none"/>
        </w:rPr>
        <w:lastRenderedPageBreak/>
        <w:t>Conteúdo principal</w:t>
      </w:r>
    </w:p>
    <w:p w14:paraId="06A531CA"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Escolha do método</w:t>
      </w:r>
    </w:p>
    <w:p w14:paraId="0A73D632"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Radiografias simples são o primeiro exame em diversas situações e permanecem insubstituíveis na avaliação ortostática, sob carga, das deformidades e da instabilidade dinâmica. Flexão e extensão demonstram mobilidade segmentar; inclinações laterais auxiliam na análise da flexibilidade das curvas. A Figura 15.1, na página 216, exemplifica essa aplicação ao demonstrar a variação de uma espondilolistese entre as posições neutra, de extensão e de flexão.</w:t>
      </w:r>
    </w:p>
    <w:p w14:paraId="18ECFE67"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 tomografia computadorizada (TC) utiliza radiação ionizante, mas fornece cortes seccionais, reconstruções multiplanares e tridimensionais, sendo especialmente útil em fraturas, luxações, pequenas lesões ósseas, gás, calcificações e regiões complexas, como as transições craniovertebral e cervicotorácica e o sacro. A ultrassonografia (US) é limitada pelo tecido ósseo, porém pode guiar infiltrações, orientar a drenagem de coleções paravertebrais e avaliar o canal vertebral em recém-nascidos antes da ossificação completa dos arcos neurais.</w:t>
      </w:r>
    </w:p>
    <w:p w14:paraId="56E87EC6"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Ressonância magnética, contraste e cintilografia</w:t>
      </w:r>
    </w:p>
    <w:p w14:paraId="3054451A"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 ressonância magnética (RM) é o método de escolha para tecido neural, medula óssea, raízes nervosas, discos e tecidos moles. Em T1, a gordura normal apresenta alto sinal, enquanto edema ou infiltração reduzem o sinal. Sequências sensíveis a líquido com supressão de gordura tornam edema e infiltração mais conspícuos.</w:t>
      </w:r>
    </w:p>
    <w:p w14:paraId="2BEBC1C0"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Calcificações e gás podem aparecer apenas como ausência de sinal na RM, situação em que radiografia ou TC são superiores. Implantes, dispositivos, claustrofobia e artefatos metálicos devem ser avaliados individualmente. Contraste iodado na TC e gadolínio na RM ajudam a caracterizar vascularização, abscessos, lesões sólidas, inflamação, tumores e fibrose epidural pós-operatória.</w:t>
      </w:r>
    </w:p>
    <w:p w14:paraId="0E74AB49"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 cintilografia demonstra distribuição e atividade da remodelação óssea. Áreas de hipercaptação, entretanto, são inespecíficas e podem ocorrer em alterações degenerativas, fraturas ou metástases. A integridade da perfusão também influencia a captação, e algumas lesões podem produzir resultados falsamente negativos.</w:t>
      </w:r>
    </w:p>
    <w:p w14:paraId="2CDBBC67"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Degeneração discal, Modic e estenose</w:t>
      </w:r>
    </w:p>
    <w:p w14:paraId="04D78DB1"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 xml:space="preserve">O capítulo ressalta a elevada frequência de alterações degenerativas em indivíduos assintomáticos. Osteófitos, esclerose subcondral, redução do espaço discal e fenômeno de vácuo caracterizam degeneração avançada. Abaulamento é uma alteração difusa; hérnia corresponde a deslocamento focal. Na protrusão, a base junto ao disco é mais ampla que a porção deslocada. Na extrusão, a base é menor que ao menos um dos diâmetros do fragmento ou há migração ou perda de continuidade com o disco de origem. As Figuras 15.4 e 15.5, nas páginas 220–221, </w:t>
      </w:r>
      <w:r w:rsidRPr="009030FC">
        <w:rPr>
          <w:rFonts w:ascii="Times New Roman" w:eastAsia="Times New Roman" w:hAnsi="Times New Roman" w:cs="Times New Roman"/>
          <w:color w:val="000000"/>
          <w:kern w:val="0"/>
          <w14:ligatures w14:val="none"/>
        </w:rPr>
        <w:lastRenderedPageBreak/>
        <w:t>ilustram, respectivamente, uma protrusão com preservação das fibras periféricas do ânulo e extrusões com migração cranial ou caudal.</w:t>
      </w:r>
    </w:p>
    <w:p w14:paraId="5C6383B5"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Modic I corresponde a padrão de edema e tecido fibrovascular; Modic II, a substituição gordurosa; e Modic III, a osteoesclerose. Nenhum desses achados implica necessariamente dor.</w:t>
      </w:r>
    </w:p>
    <w:p w14:paraId="70C0B0BC"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TC e RM delimitam estenose central, dos recessos laterais e foraminal. Quando a clínica sugere compressão não demonstrada em decúbito, o capítulo descreve carga axial, extensão dos quadris e joelhos ou mielografia dinâmica como alternativas de investigação.</w:t>
      </w:r>
    </w:p>
    <w:p w14:paraId="2B491169"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Hiperostose e espondiloartrite axial</w:t>
      </w:r>
    </w:p>
    <w:p w14:paraId="2D2DBF63"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 hiperostose esquelética idiopática difusa (HEID) apresenta ossificação anterolateral exuberante em pelo menos quatro corpos vertebrais, com relativa preservação discal e ausência dos achados sacroilíacos e facetários definidos nos critérios de Resnick e Niwayama. A Figura 15.7, na página 222, demonstra ossificação do ligamento longitudinal anterior associada a espaços discais relativamente preservados.</w:t>
      </w:r>
    </w:p>
    <w:p w14:paraId="4F14156D"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Na espondiloartrite axial, a RM detecta precocemente edema subcondral sacroilíaco e em regiões de entese. Nas fases tardias, podem surgir sindesmófitos, anquilose e o aspecto de “coluna em bambu”. A diferenciação entre essas condições evita que a exuberância radiográfica da HEID seja interpretada como doença inflamatória.</w:t>
      </w:r>
    </w:p>
    <w:p w14:paraId="5086D5FB"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Infecção, trauma e achados incidentais</w:t>
      </w:r>
    </w:p>
    <w:p w14:paraId="5FCBE0CA"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 espondilodiscite piogênica tende a reduzir o espaço discal e destruir platôs adjacentes. A forma tuberculosa evolui mais lentamente, com acometimento discal relativamente tardio, disseminação subligamentar, grandes abscessos e possível deformidade cifótica. As Figuras 15.8 e 15.9, na página 223, contrastam o padrão inflamatório discovertebral e a disseminação paravertebral e epidural da infecção tuberculosa.</w:t>
      </w:r>
    </w:p>
    <w:p w14:paraId="2B7B80B9"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No trauma, a TC é o método inicial quando há indicação de investigação por imagem. A RM complementa a avaliação da medula, dos discos e dos ligamentos. A Figura 15.11, na página 225, mostra como TC e RM fornecem informações complementares em uma fratura de Chance com lesão do complexo ligamentar posterior.</w:t>
      </w:r>
    </w:p>
    <w:p w14:paraId="3C05FCCB"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Hemangioma vertebral típico e enostose são exemplos de achados incidentais geralmente benignos. No hemangioma, o trabeculado ósseo vertical é mais bem demonstrado pela TC, enquanto o componente adiposo produz hipersinal em T1 e T2 na RM, como ilustrado na Figura 15.12.</w:t>
      </w:r>
    </w:p>
    <w:p w14:paraId="4CBFCB71"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4339507E">
          <v:rect id="_x0000_i1034" style="width:0;height:1.5pt" o:hralign="center" o:hrstd="t" o:hr="t" fillcolor="#a0a0a0" stroked="f"/>
        </w:pict>
      </w:r>
    </w:p>
    <w:p w14:paraId="74EC83C4"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Aplicação clínica</w:t>
      </w:r>
    </w:p>
    <w:p w14:paraId="3087EE9D"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lastRenderedPageBreak/>
        <w:t>Na prática, a pergunta clínica deve preceder a solicitação do exame. Radiografias ortostáticas e dinâmicas são adequadas para deformidade, alinhamento e instabilidade; a TC é prioritária para fraturas, anatomia óssea, calcificações, gás e regiões de superposição; e a RM deve ser escolhida quando a questão envolve medula, raízes, medula óssea, infecção, neoplasia, abscessos ou tecidos moles. A US pode ser utilizada para procedimentos guiados, coleções superficiais e rastreamento neonatal, enquanto a cintilografia acrescenta informação sobre atividade e distribuição esquelética, reconhecendo-se sua baixa especificidade.</w:t>
      </w:r>
    </w:p>
    <w:p w14:paraId="69D9D2FA"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Em doença degenerativa, a descrição deve empregar terminologia morfológica padronizada e sempre ser correlacionada aos sintomas. Protrusão, extrusão, alterações de Modic ou estenose identificadas isoladamente não definem tratamento. Diante de claudicação ou radiculopatia com RM convencional negativa, o capítulo admite métodos sob carga ou em extensão. A avaliação deve incluir canal central, recessos laterais e forames para evitar compressão radicular não reconhecida.</w:t>
      </w:r>
    </w:p>
    <w:p w14:paraId="647FA7C5"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Sinais de alerta para infecção, neoplasia ou déficit neurológico modificam a prioridade e favorecem a RM. No trauma, TC e, quando indicadas, RM ou angiotomografia respondem a perguntas complementares. Antes de RM e contraste, devem ser avaliados implantes, dispositivos, claustrofobia, gestação e possibilidade de reações adversas.</w:t>
      </w:r>
    </w:p>
    <w:p w14:paraId="10542070"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5BE0E945">
          <v:rect id="_x0000_i1033" style="width:0;height:1.5pt" o:hralign="center" o:hrstd="t" o:hr="t" fillcolor="#a0a0a0" stroked="f"/>
        </w:pict>
      </w:r>
    </w:p>
    <w:p w14:paraId="066D236F"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Mensagem central</w:t>
      </w:r>
    </w:p>
    <w:p w14:paraId="23F51C63"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O diagnóstico por imagem da coluna é orientado pela pergunta clínica e pela complementaridade entre os métodos. Radiografia demonstra função sob carga; TC define osso, gás e calcificação; RM caracteriza tecido neural, medula óssea e partes moles; US e cintilografia ocupam indicações específicas. Nenhum achado deve ser interpretado isoladamente, porque alterações degenerativas e lesões benignas são frequentes em assintomáticos e a correlação clínica determina sua relevância.</w:t>
      </w:r>
    </w:p>
    <w:p w14:paraId="0D4ECB40"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7BB7F24A">
          <v:rect id="_x0000_i1032" style="width:0;height:1.5pt" o:hralign="center" o:hrstd="t" o:hr="t" fillcolor="#a0a0a0" stroked="f"/>
        </w:pict>
      </w:r>
    </w:p>
    <w:p w14:paraId="22D7FC17"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Por que este capítulo importa</w:t>
      </w:r>
    </w:p>
    <w:p w14:paraId="52EECDC7"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Escolher o exame errado pode ocultar exatamente o fenômeno que se procura: instabilidade pode desaparecer no decúbito, calcificações podem se confundir com gás na RM e uma estenose foraminal pode ser negligenciada quando a atenção se concentra apenas no canal central. Ao mesmo tempo, exames muito sensíveis revelam alterações sem significado clínico. Este capítulo importa porque ensina a associar cada modalidade à pergunta adequada, reconhecer padrões que exigem urgência e evitar que hérnias, Modic, HEID ou achados incidentais sejam transformados automaticamente em diagnóstico causal ou indicação terapêutica.</w:t>
      </w:r>
    </w:p>
    <w:p w14:paraId="2E5939D0"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470AE6B2">
          <v:rect id="_x0000_i1031" style="width:0;height:1.5pt" o:hralign="center" o:hrstd="t" o:hr="t" fillcolor="#a0a0a0" stroked="f"/>
        </w:pict>
      </w:r>
    </w:p>
    <w:p w14:paraId="300BB755"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lastRenderedPageBreak/>
        <w:t>Palavras-chave e descritores</w:t>
      </w:r>
    </w:p>
    <w:p w14:paraId="4C84F864" w14:textId="77777777" w:rsidR="009030FC" w:rsidRPr="009030FC" w:rsidRDefault="009030FC" w:rsidP="009030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30FC">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4"/>
        <w:gridCol w:w="3135"/>
      </w:tblGrid>
      <w:tr w:rsidR="009030FC" w:rsidRPr="009030FC" w14:paraId="2A846FA9" w14:textId="77777777">
        <w:trPr>
          <w:tblHeader/>
          <w:tblCellSpacing w:w="15" w:type="dxa"/>
        </w:trPr>
        <w:tc>
          <w:tcPr>
            <w:tcW w:w="0" w:type="auto"/>
            <w:vAlign w:val="center"/>
            <w:hideMark/>
          </w:tcPr>
          <w:p w14:paraId="2439FD3B" w14:textId="77777777" w:rsidR="009030FC" w:rsidRPr="009030FC" w:rsidRDefault="009030FC" w:rsidP="009030FC">
            <w:pPr>
              <w:spacing w:after="0" w:line="240" w:lineRule="auto"/>
              <w:jc w:val="center"/>
              <w:rPr>
                <w:rFonts w:ascii="Times New Roman" w:eastAsia="Times New Roman" w:hAnsi="Times New Roman" w:cs="Times New Roman"/>
                <w:b/>
                <w:bCs/>
                <w:color w:val="000000"/>
                <w:kern w:val="0"/>
                <w14:ligatures w14:val="none"/>
              </w:rPr>
            </w:pPr>
            <w:r w:rsidRPr="009030FC">
              <w:rPr>
                <w:rFonts w:ascii="Times New Roman" w:eastAsia="Times New Roman" w:hAnsi="Times New Roman" w:cs="Times New Roman"/>
                <w:b/>
                <w:bCs/>
                <w:color w:val="000000"/>
                <w:kern w:val="0"/>
                <w14:ligatures w14:val="none"/>
              </w:rPr>
              <w:t>DeCS — português</w:t>
            </w:r>
          </w:p>
        </w:tc>
        <w:tc>
          <w:tcPr>
            <w:tcW w:w="0" w:type="auto"/>
            <w:vAlign w:val="center"/>
            <w:hideMark/>
          </w:tcPr>
          <w:p w14:paraId="5FB47F4C" w14:textId="77777777" w:rsidR="009030FC" w:rsidRPr="009030FC" w:rsidRDefault="009030FC" w:rsidP="009030FC">
            <w:pPr>
              <w:spacing w:after="0" w:line="240" w:lineRule="auto"/>
              <w:jc w:val="center"/>
              <w:rPr>
                <w:rFonts w:ascii="Times New Roman" w:eastAsia="Times New Roman" w:hAnsi="Times New Roman" w:cs="Times New Roman"/>
                <w:b/>
                <w:bCs/>
                <w:color w:val="000000"/>
                <w:kern w:val="0"/>
                <w14:ligatures w14:val="none"/>
              </w:rPr>
            </w:pPr>
            <w:r w:rsidRPr="009030FC">
              <w:rPr>
                <w:rFonts w:ascii="Times New Roman" w:eastAsia="Times New Roman" w:hAnsi="Times New Roman" w:cs="Times New Roman"/>
                <w:b/>
                <w:bCs/>
                <w:color w:val="000000"/>
                <w:kern w:val="0"/>
                <w14:ligatures w14:val="none"/>
              </w:rPr>
              <w:t>MeSH — inglês</w:t>
            </w:r>
          </w:p>
        </w:tc>
      </w:tr>
      <w:tr w:rsidR="009030FC" w:rsidRPr="009030FC" w14:paraId="16698F03" w14:textId="77777777">
        <w:trPr>
          <w:tblCellSpacing w:w="15" w:type="dxa"/>
        </w:trPr>
        <w:tc>
          <w:tcPr>
            <w:tcW w:w="0" w:type="auto"/>
            <w:vAlign w:val="center"/>
            <w:hideMark/>
          </w:tcPr>
          <w:p w14:paraId="35BC7332"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Diagnóstico por Imagem</w:t>
            </w:r>
          </w:p>
        </w:tc>
        <w:tc>
          <w:tcPr>
            <w:tcW w:w="0" w:type="auto"/>
            <w:vAlign w:val="center"/>
            <w:hideMark/>
          </w:tcPr>
          <w:p w14:paraId="199C25F9"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Diagnostic Imaging</w:t>
            </w:r>
          </w:p>
        </w:tc>
      </w:tr>
      <w:tr w:rsidR="009030FC" w:rsidRPr="009030FC" w14:paraId="3A5142D5" w14:textId="77777777">
        <w:trPr>
          <w:tblCellSpacing w:w="15" w:type="dxa"/>
        </w:trPr>
        <w:tc>
          <w:tcPr>
            <w:tcW w:w="0" w:type="auto"/>
            <w:vAlign w:val="center"/>
            <w:hideMark/>
          </w:tcPr>
          <w:p w14:paraId="6AA0197D"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Coluna Vertebral</w:t>
            </w:r>
          </w:p>
        </w:tc>
        <w:tc>
          <w:tcPr>
            <w:tcW w:w="0" w:type="auto"/>
            <w:vAlign w:val="center"/>
            <w:hideMark/>
          </w:tcPr>
          <w:p w14:paraId="1AFEC17B"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Spine</w:t>
            </w:r>
          </w:p>
        </w:tc>
      </w:tr>
      <w:tr w:rsidR="009030FC" w:rsidRPr="009030FC" w14:paraId="0F81D957" w14:textId="77777777">
        <w:trPr>
          <w:tblCellSpacing w:w="15" w:type="dxa"/>
        </w:trPr>
        <w:tc>
          <w:tcPr>
            <w:tcW w:w="0" w:type="auto"/>
            <w:vAlign w:val="center"/>
            <w:hideMark/>
          </w:tcPr>
          <w:p w14:paraId="5A7DB33A"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Radiografia</w:t>
            </w:r>
          </w:p>
        </w:tc>
        <w:tc>
          <w:tcPr>
            <w:tcW w:w="0" w:type="auto"/>
            <w:vAlign w:val="center"/>
            <w:hideMark/>
          </w:tcPr>
          <w:p w14:paraId="2351ADB6"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Radiography</w:t>
            </w:r>
          </w:p>
        </w:tc>
      </w:tr>
      <w:tr w:rsidR="009030FC" w:rsidRPr="009030FC" w14:paraId="6C594AD1" w14:textId="77777777">
        <w:trPr>
          <w:tblCellSpacing w:w="15" w:type="dxa"/>
        </w:trPr>
        <w:tc>
          <w:tcPr>
            <w:tcW w:w="0" w:type="auto"/>
            <w:vAlign w:val="center"/>
            <w:hideMark/>
          </w:tcPr>
          <w:p w14:paraId="037B9741"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Tomografia Computadorizada por Raios X</w:t>
            </w:r>
          </w:p>
        </w:tc>
        <w:tc>
          <w:tcPr>
            <w:tcW w:w="0" w:type="auto"/>
            <w:vAlign w:val="center"/>
            <w:hideMark/>
          </w:tcPr>
          <w:p w14:paraId="37665861"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Tomography, X-Ray Computed</w:t>
            </w:r>
          </w:p>
        </w:tc>
      </w:tr>
      <w:tr w:rsidR="009030FC" w:rsidRPr="009030FC" w14:paraId="78E286DC" w14:textId="77777777">
        <w:trPr>
          <w:tblCellSpacing w:w="15" w:type="dxa"/>
        </w:trPr>
        <w:tc>
          <w:tcPr>
            <w:tcW w:w="0" w:type="auto"/>
            <w:vAlign w:val="center"/>
            <w:hideMark/>
          </w:tcPr>
          <w:p w14:paraId="38981C01"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Imageamento por Ressonância Magnética</w:t>
            </w:r>
          </w:p>
        </w:tc>
        <w:tc>
          <w:tcPr>
            <w:tcW w:w="0" w:type="auto"/>
            <w:vAlign w:val="center"/>
            <w:hideMark/>
          </w:tcPr>
          <w:p w14:paraId="3E771161"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Magnetic Resonance Imaging</w:t>
            </w:r>
          </w:p>
        </w:tc>
      </w:tr>
      <w:tr w:rsidR="009030FC" w:rsidRPr="009030FC" w14:paraId="4DFE02EC" w14:textId="77777777">
        <w:trPr>
          <w:tblCellSpacing w:w="15" w:type="dxa"/>
        </w:trPr>
        <w:tc>
          <w:tcPr>
            <w:tcW w:w="0" w:type="auto"/>
            <w:vAlign w:val="center"/>
            <w:hideMark/>
          </w:tcPr>
          <w:p w14:paraId="255C90D9"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Ultrassonografia</w:t>
            </w:r>
          </w:p>
        </w:tc>
        <w:tc>
          <w:tcPr>
            <w:tcW w:w="0" w:type="auto"/>
            <w:vAlign w:val="center"/>
            <w:hideMark/>
          </w:tcPr>
          <w:p w14:paraId="6B2D9019"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Ultrasonography</w:t>
            </w:r>
          </w:p>
        </w:tc>
      </w:tr>
      <w:tr w:rsidR="009030FC" w:rsidRPr="009030FC" w14:paraId="3D0FDE92" w14:textId="77777777">
        <w:trPr>
          <w:tblCellSpacing w:w="15" w:type="dxa"/>
        </w:trPr>
        <w:tc>
          <w:tcPr>
            <w:tcW w:w="0" w:type="auto"/>
            <w:vAlign w:val="center"/>
            <w:hideMark/>
          </w:tcPr>
          <w:p w14:paraId="24C2EA88"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Cintilografia</w:t>
            </w:r>
          </w:p>
        </w:tc>
        <w:tc>
          <w:tcPr>
            <w:tcW w:w="0" w:type="auto"/>
            <w:vAlign w:val="center"/>
            <w:hideMark/>
          </w:tcPr>
          <w:p w14:paraId="64AC323B"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Radionuclide Imaging</w:t>
            </w:r>
          </w:p>
        </w:tc>
      </w:tr>
      <w:tr w:rsidR="009030FC" w:rsidRPr="009030FC" w14:paraId="7E9AFCE3" w14:textId="77777777">
        <w:trPr>
          <w:tblCellSpacing w:w="15" w:type="dxa"/>
        </w:trPr>
        <w:tc>
          <w:tcPr>
            <w:tcW w:w="0" w:type="auto"/>
            <w:vAlign w:val="center"/>
            <w:hideMark/>
          </w:tcPr>
          <w:p w14:paraId="24DA586A"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Estenose Espinal</w:t>
            </w:r>
          </w:p>
        </w:tc>
        <w:tc>
          <w:tcPr>
            <w:tcW w:w="0" w:type="auto"/>
            <w:vAlign w:val="center"/>
            <w:hideMark/>
          </w:tcPr>
          <w:p w14:paraId="677E9806" w14:textId="77777777" w:rsidR="009030FC" w:rsidRPr="009030FC" w:rsidRDefault="009030FC" w:rsidP="009030FC">
            <w:pPr>
              <w:spacing w:after="0"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Spinal Stenosis</w:t>
            </w:r>
          </w:p>
        </w:tc>
      </w:tr>
    </w:tbl>
    <w:p w14:paraId="1AE48116"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Os descritores referentes às modalidades de imagem foram conferidos nas bases oficiais DeCS/MeSH. A forma preferida em português é </w:t>
      </w:r>
      <w:r w:rsidRPr="009030FC">
        <w:rPr>
          <w:rFonts w:ascii="Times New Roman" w:eastAsia="Times New Roman" w:hAnsi="Times New Roman" w:cs="Times New Roman"/>
          <w:b/>
          <w:bCs/>
          <w:color w:val="000000"/>
          <w:kern w:val="0"/>
          <w14:ligatures w14:val="none"/>
        </w:rPr>
        <w:t>Imageamento por Ressonância Magnética</w:t>
      </w:r>
      <w:r w:rsidRPr="009030FC">
        <w:rPr>
          <w:rFonts w:ascii="Times New Roman" w:eastAsia="Times New Roman" w:hAnsi="Times New Roman" w:cs="Times New Roman"/>
          <w:color w:val="000000"/>
          <w:kern w:val="0"/>
          <w14:ligatures w14:val="none"/>
        </w:rPr>
        <w:t>, embora “Imagem por Ressonância Magnética” seja aceita como termo alternativo.</w:t>
      </w:r>
    </w:p>
    <w:p w14:paraId="4B38DCC4"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Também foram confirmadas as formas controladas </w:t>
      </w:r>
      <w:r w:rsidRPr="009030FC">
        <w:rPr>
          <w:rFonts w:ascii="Times New Roman" w:eastAsia="Times New Roman" w:hAnsi="Times New Roman" w:cs="Times New Roman"/>
          <w:b/>
          <w:bCs/>
          <w:color w:val="000000"/>
          <w:kern w:val="0"/>
          <w14:ligatures w14:val="none"/>
        </w:rPr>
        <w:t>Coluna Vertebral</w:t>
      </w:r>
      <w:r w:rsidRPr="009030FC">
        <w:rPr>
          <w:rFonts w:ascii="Times New Roman" w:eastAsia="Times New Roman" w:hAnsi="Times New Roman" w:cs="Times New Roman"/>
          <w:color w:val="000000"/>
          <w:kern w:val="0"/>
          <w14:ligatures w14:val="none"/>
        </w:rPr>
        <w:t> e </w:t>
      </w:r>
      <w:r w:rsidRPr="009030FC">
        <w:rPr>
          <w:rFonts w:ascii="Times New Roman" w:eastAsia="Times New Roman" w:hAnsi="Times New Roman" w:cs="Times New Roman"/>
          <w:b/>
          <w:bCs/>
          <w:color w:val="000000"/>
          <w:kern w:val="0"/>
          <w14:ligatures w14:val="none"/>
        </w:rPr>
        <w:t>Estenose Espinal</w:t>
      </w:r>
      <w:r w:rsidRPr="009030FC">
        <w:rPr>
          <w:rFonts w:ascii="Times New Roman" w:eastAsia="Times New Roman" w:hAnsi="Times New Roman" w:cs="Times New Roman"/>
          <w:color w:val="000000"/>
          <w:kern w:val="0"/>
          <w14:ligatures w14:val="none"/>
        </w:rPr>
        <w:t>; “Estenose Espinhal” aparece como termo alternativo.</w:t>
      </w:r>
    </w:p>
    <w:p w14:paraId="5F7A38BF" w14:textId="77777777" w:rsidR="009030FC" w:rsidRPr="009030FC" w:rsidRDefault="009030FC" w:rsidP="009030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30FC">
        <w:rPr>
          <w:rFonts w:ascii="Times New Roman" w:eastAsia="Times New Roman" w:hAnsi="Times New Roman" w:cs="Times New Roman"/>
          <w:b/>
          <w:bCs/>
          <w:color w:val="000000"/>
          <w:kern w:val="0"/>
          <w:sz w:val="27"/>
          <w:szCs w:val="27"/>
          <w14:ligatures w14:val="none"/>
        </w:rPr>
        <w:t>Palavras-chave livres adicionais</w:t>
      </w:r>
    </w:p>
    <w:p w14:paraId="6EDFE6A7"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Radiografia sob carga; alterações de Modic; fenômeno de vácuo intradiscal; critérios de Resnick e Niwayama; carga axial em TC ou RM; diferenciação entre protrusão e extrusão discal; estenose foraminal.</w:t>
      </w:r>
    </w:p>
    <w:p w14:paraId="1EA08AC2"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31984193">
          <v:rect id="_x0000_i1030" style="width:0;height:1.5pt" o:hralign="center" o:hrstd="t" o:hr="t" fillcolor="#a0a0a0" stroked="f"/>
        </w:pict>
      </w:r>
    </w:p>
    <w:p w14:paraId="0FF7F225" w14:textId="77777777" w:rsidR="009030FC" w:rsidRPr="009030FC" w:rsidRDefault="009030FC" w:rsidP="009030F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030FC">
        <w:rPr>
          <w:rFonts w:ascii="Times New Roman" w:eastAsia="Times New Roman" w:hAnsi="Times New Roman" w:cs="Times New Roman"/>
          <w:b/>
          <w:bCs/>
          <w:color w:val="000000"/>
          <w:kern w:val="36"/>
          <w:sz w:val="48"/>
          <w:szCs w:val="48"/>
          <w14:ligatures w14:val="none"/>
        </w:rPr>
        <w:t>Três cards de destaque</w:t>
      </w:r>
    </w:p>
    <w:p w14:paraId="36113BBA"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Card 1 — Conceito essencial</w:t>
      </w:r>
    </w:p>
    <w:p w14:paraId="4E2D1095" w14:textId="77777777" w:rsidR="009030FC" w:rsidRPr="009030FC" w:rsidRDefault="009030FC" w:rsidP="009030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30FC">
        <w:rPr>
          <w:rFonts w:ascii="Times New Roman" w:eastAsia="Times New Roman" w:hAnsi="Times New Roman" w:cs="Times New Roman"/>
          <w:b/>
          <w:bCs/>
          <w:color w:val="000000"/>
          <w:kern w:val="0"/>
          <w:sz w:val="27"/>
          <w:szCs w:val="27"/>
          <w14:ligatures w14:val="none"/>
        </w:rPr>
        <w:t>Cada método vê algo diferente</w:t>
      </w:r>
    </w:p>
    <w:p w14:paraId="31E1FEF1"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Radiografia mostra alinhamento e movimento sob carga; TC define a anatomia óssea sem superposição; RM caracteriza medula, raízes, medula óssea e tecidos moles. US e cintilografia respondem a perguntas específicas. A melhor investigação resulta da combinação entre hipótese clínica e capacidade própria de cada modalidade.</w:t>
      </w:r>
    </w:p>
    <w:p w14:paraId="45FE4316"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069A5991">
          <v:rect id="_x0000_i1029" style="width:0;height:1.5pt" o:hralign="center" o:hrstd="t" o:hr="t" fillcolor="#a0a0a0" stroked="f"/>
        </w:pict>
      </w:r>
    </w:p>
    <w:p w14:paraId="46606D2C"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lastRenderedPageBreak/>
        <w:t>Card 2 — Decisão clínica</w:t>
      </w:r>
    </w:p>
    <w:p w14:paraId="7C490414" w14:textId="77777777" w:rsidR="009030FC" w:rsidRPr="009030FC" w:rsidRDefault="009030FC" w:rsidP="009030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30FC">
        <w:rPr>
          <w:rFonts w:ascii="Times New Roman" w:eastAsia="Times New Roman" w:hAnsi="Times New Roman" w:cs="Times New Roman"/>
          <w:b/>
          <w:bCs/>
          <w:color w:val="000000"/>
          <w:kern w:val="0"/>
          <w:sz w:val="27"/>
          <w:szCs w:val="27"/>
          <w14:ligatures w14:val="none"/>
        </w:rPr>
        <w:t>Correlação vale mais que morfologia</w:t>
      </w:r>
    </w:p>
    <w:p w14:paraId="182E5DF7"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Abaulamento, protrusão, extrusão e alterações de Modic devem ser descritos de forma padronizada, mas não determinam sintomas nem tratamento isoladamente. A decisão clínica depende da concordância entre topografia, exame neurológico, padrão de compressão e evolução do paciente.</w:t>
      </w:r>
    </w:p>
    <w:p w14:paraId="45D79962"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3A55457D">
          <v:rect id="_x0000_i1028" style="width:0;height:1.5pt" o:hralign="center" o:hrstd="t" o:hr="t" fillcolor="#a0a0a0" stroked="f"/>
        </w:pict>
      </w:r>
    </w:p>
    <w:p w14:paraId="7B241778" w14:textId="77777777" w:rsidR="009030FC" w:rsidRPr="009030FC" w:rsidRDefault="009030FC" w:rsidP="009030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030FC">
        <w:rPr>
          <w:rFonts w:ascii="Times New Roman" w:eastAsia="Times New Roman" w:hAnsi="Times New Roman" w:cs="Times New Roman"/>
          <w:b/>
          <w:bCs/>
          <w:color w:val="000000"/>
          <w:kern w:val="0"/>
          <w:sz w:val="36"/>
          <w:szCs w:val="36"/>
          <w14:ligatures w14:val="none"/>
        </w:rPr>
        <w:t>Card 3 — Pérola ou alerta</w:t>
      </w:r>
    </w:p>
    <w:p w14:paraId="32A552C0" w14:textId="77777777" w:rsidR="009030FC" w:rsidRPr="009030FC" w:rsidRDefault="009030FC" w:rsidP="009030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30FC">
        <w:rPr>
          <w:rFonts w:ascii="Times New Roman" w:eastAsia="Times New Roman" w:hAnsi="Times New Roman" w:cs="Times New Roman"/>
          <w:b/>
          <w:bCs/>
          <w:color w:val="000000"/>
          <w:kern w:val="0"/>
          <w:sz w:val="27"/>
          <w:szCs w:val="27"/>
          <w14:ligatures w14:val="none"/>
        </w:rPr>
        <w:t>Não esqueça carga e forame</w:t>
      </w:r>
    </w:p>
    <w:p w14:paraId="0B6468D8"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Exames em decúbito podem subestimar instabilidade e compressão dinâmica. Quando sintomas e imagens não concordam, o capítulo admite radiografias funcionais, carga axial, extensão ou mielografia dinâmica. A revisão sistemática dos forames e recessos laterais reduz o risco de omitir uma causa radicular tratável.</w:t>
      </w:r>
    </w:p>
    <w:p w14:paraId="2616D8D3"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6D20EFD9">
          <v:rect id="_x0000_i1027" style="width:0;height:1.5pt" o:hralign="center" o:hrstd="t" o:hr="t" fillcolor="#a0a0a0" stroked="f"/>
        </w:pict>
      </w:r>
    </w:p>
    <w:p w14:paraId="5588CC86" w14:textId="77777777" w:rsidR="009030FC" w:rsidRPr="009030FC" w:rsidRDefault="009030FC" w:rsidP="009030F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030FC">
        <w:rPr>
          <w:rFonts w:ascii="Times New Roman" w:eastAsia="Times New Roman" w:hAnsi="Times New Roman" w:cs="Times New Roman"/>
          <w:b/>
          <w:bCs/>
          <w:color w:val="000000"/>
          <w:kern w:val="36"/>
          <w:sz w:val="48"/>
          <w:szCs w:val="48"/>
          <w14:ligatures w14:val="none"/>
        </w:rPr>
        <w:t>Referências bibliográficas</w:t>
      </w:r>
    </w:p>
    <w:p w14:paraId="7C1B2185"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As referências foram mantidas na ordem e com a numeração do capítulo. A pontuação e a apresentação foram uniformizadas segundo o estilo Vancouver, sem completar por suposição informações ausentes.</w:t>
      </w:r>
    </w:p>
    <w:p w14:paraId="37E1DA49"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Hassankhani A, Freeman CW, Banks J, Parsons MS, Wessell DE, Hutchins TA, et al. ACR Appropriateness Criteria® Acute Spinal Trauma: 2024 Update. J Am Coll Radiol. 2025;22(5S):S48-S66.</w:t>
      </w:r>
    </w:p>
    <w:p w14:paraId="6E7FFCCE"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Loizides A, Obernauer J, Bale R, Plaikner M, Galiano K, Gruber H. Ultrasound-guided injections in the spine. Tech Orthop. 2013;28:6-11.</w:t>
      </w:r>
    </w:p>
    <w:p w14:paraId="3F126651"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Wang YX, Wu A, Santiago FR, Nogueira-Barbosa MH. Informed appropriate imaging for low back pain management: a narrative review. J Orthop Translat. 2018;15:21-34.</w:t>
      </w:r>
    </w:p>
    <w:p w14:paraId="3FEC1874"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Dahmoush H, Gaddam DS, Ho M, Bauer DF, Bosemani T, Buchhalter J. ACR Appropriateness Criteria® Back Pain-Child: 2024 Update. J Am Coll Radiol. 2025;22(5S):S79-S107.</w:t>
      </w:r>
    </w:p>
    <w:p w14:paraId="5F72EA9D"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Fardon DF, Willians AL, Dohring EJ, Murtagh FR, Rothman G, Sze GK. Lumbar disc nomenclature: version 2.0. The Spine Journal. 2014;14(11):2525-45.</w:t>
      </w:r>
    </w:p>
    <w:p w14:paraId="569F6605"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Nascimento ED, Simão MN, Nogueira-Barbosa MH. Fluid-sensitive sequences modify the Modic classification in MRI. Coluna/Columna. 2025;24(1):e292286.</w:t>
      </w:r>
    </w:p>
    <w:p w14:paraId="3C19B79E"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lastRenderedPageBreak/>
        <w:t>Madsen R, Jensen TS, Pope M, Sorensen JS, Bendix T. The effect of body position and axial load on spinal canal morphology, an MRI study of central spinal stenosis. Spine (Phila Pa 1976). 2008;33(1):61-7.</w:t>
      </w:r>
    </w:p>
    <w:p w14:paraId="41A5EE28"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Kanbara S, Yukawa Y, Ito K, Machino M, Kato F. Dynamic changes in the dural sac of patients with lumbar canal stenosis evaluated by multidetector-row computed tomography after myelography. Eur Spine J. 2014;23(1):74-9.</w:t>
      </w:r>
    </w:p>
    <w:p w14:paraId="15AE527F"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Eshed I. Imaging characteristics of diffuse idiopathic skeletal hyperostosis: more than just spinal bony bridges. Diagnostics. 2023;13(3):563.</w:t>
      </w:r>
    </w:p>
    <w:p w14:paraId="5B9F7D12"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Resnick D, Niwayama G. Radiographic and pathologic features of spinal involvement in diffuse idiopathic skeletal hyperostosis (DISH). Radiology. 1976;119(3):559-68.</w:t>
      </w:r>
    </w:p>
    <w:p w14:paraId="108DF874"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Ortiz O, Levitt A, Shah L, Parsons, Argawal V, Baldwin K, et al. MS, ACR Appropriateness Criteria® Suspected Spine Infection. J Am Coll Radiol. 2021;18(11S):S488-S501.</w:t>
      </w:r>
    </w:p>
    <w:p w14:paraId="3181369C"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Czuczman GJ, Mandell JC, Wessel DE, Lenchick L, Ahlawat S, Baker JC, et al. ACR Appropriateness Criteria Inflammatory Back Pain: known or suspected axial spondyloarthritis 2021 update. J Am Coll Radiol. 2021;18(11S):S340-60.</w:t>
      </w:r>
    </w:p>
    <w:p w14:paraId="4518C88D" w14:textId="77777777" w:rsidR="009030FC" w:rsidRPr="009030FC" w:rsidRDefault="009030FC" w:rsidP="009030F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color w:val="000000"/>
          <w:kern w:val="0"/>
          <w14:ligatures w14:val="none"/>
        </w:rPr>
        <w:t>Maksymowych WP, Lambert RG, Bariliakos X, Weber U, Machado PM, Pedersen SJ, et al. Data-driven definitions for active and structural MRI lesions in the sacroiliac joint in spondyloarthritis and their predictive utility. Rheumatology. 2021;60(10):4778-89.</w:t>
      </w:r>
    </w:p>
    <w:p w14:paraId="12F5BC24"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23B51BF8">
          <v:rect id="_x0000_i1026" alt="" style="width:468pt;height:.05pt;mso-width-percent:0;mso-height-percent:0;mso-width-percent:0;mso-height-percent:0" o:hralign="center" o:hrstd="t" o:hr="t" fillcolor="#a0a0a0" stroked="f"/>
        </w:pict>
      </w:r>
    </w:p>
    <w:p w14:paraId="783F7C87" w14:textId="77777777" w:rsidR="009030FC" w:rsidRPr="009030FC" w:rsidRDefault="009030FC" w:rsidP="009030F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030FC">
        <w:rPr>
          <w:rFonts w:ascii="Times New Roman" w:eastAsia="Times New Roman" w:hAnsi="Times New Roman" w:cs="Times New Roman"/>
          <w:b/>
          <w:bCs/>
          <w:color w:val="000000"/>
          <w:kern w:val="36"/>
          <w:sz w:val="48"/>
          <w:szCs w:val="48"/>
          <w14:ligatures w14:val="none"/>
        </w:rPr>
        <w:t>Metadados para publicação</w:t>
      </w:r>
    </w:p>
    <w:p w14:paraId="369943E0"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Título SEO:</w:t>
      </w:r>
      <w:r w:rsidRPr="009030FC">
        <w:rPr>
          <w:rFonts w:ascii="Times New Roman" w:eastAsia="Times New Roman" w:hAnsi="Times New Roman" w:cs="Times New Roman"/>
          <w:color w:val="000000"/>
          <w:kern w:val="0"/>
          <w14:ligatures w14:val="none"/>
        </w:rPr>
        <w:t> Diagnóstico por imagem da coluna vertebral | Tratado</w:t>
      </w:r>
    </w:p>
    <w:p w14:paraId="30CDB361"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Meta descrição:</w:t>
      </w:r>
      <w:r w:rsidRPr="009030FC">
        <w:rPr>
          <w:rFonts w:ascii="Times New Roman" w:eastAsia="Times New Roman" w:hAnsi="Times New Roman" w:cs="Times New Roman"/>
          <w:color w:val="000000"/>
          <w:kern w:val="0"/>
          <w14:ligatures w14:val="none"/>
        </w:rPr>
        <w:t> Entenda como radiografia, TC, ultrassonografia, RM, contraste e cintilografia orientam o diagnóstico das principais doenças da coluna vertebral.</w:t>
      </w:r>
    </w:p>
    <w:p w14:paraId="5E676342"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Resumo de chamada:</w:t>
      </w:r>
      <w:r w:rsidRPr="009030FC">
        <w:rPr>
          <w:rFonts w:ascii="Times New Roman" w:eastAsia="Times New Roman" w:hAnsi="Times New Roman" w:cs="Times New Roman"/>
          <w:color w:val="000000"/>
          <w:kern w:val="0"/>
          <w14:ligatures w14:val="none"/>
        </w:rPr>
        <w:t> Síntese das indicações e limitações de radiografia, tomografia, ultrassonografia, ressonância magnética, contraste e cintilografia nas doenças degenerativas, infecciosas, inflamatórias e traumáticas da coluna.</w:t>
      </w:r>
    </w:p>
    <w:p w14:paraId="3F57BEB5" w14:textId="77777777" w:rsidR="009030FC" w:rsidRPr="009030FC" w:rsidRDefault="009030FC" w:rsidP="009030FC">
      <w:pPr>
        <w:spacing w:before="100" w:beforeAutospacing="1" w:after="100" w:afterAutospacing="1" w:line="240" w:lineRule="auto"/>
        <w:rPr>
          <w:rFonts w:ascii="Times New Roman" w:eastAsia="Times New Roman" w:hAnsi="Times New Roman" w:cs="Times New Roman"/>
          <w:color w:val="000000"/>
          <w:kern w:val="0"/>
          <w14:ligatures w14:val="none"/>
        </w:rPr>
      </w:pPr>
      <w:r w:rsidRPr="009030FC">
        <w:rPr>
          <w:rFonts w:ascii="Times New Roman" w:eastAsia="Times New Roman" w:hAnsi="Times New Roman" w:cs="Times New Roman"/>
          <w:b/>
          <w:bCs/>
          <w:color w:val="000000"/>
          <w:kern w:val="0"/>
          <w14:ligatures w14:val="none"/>
        </w:rPr>
        <w:t>Sugestão de slug:</w:t>
      </w:r>
      <w:r w:rsidRPr="009030FC">
        <w:rPr>
          <w:rFonts w:ascii="Times New Roman" w:eastAsia="Times New Roman" w:hAnsi="Times New Roman" w:cs="Times New Roman"/>
          <w:color w:val="000000"/>
          <w:kern w:val="0"/>
          <w14:ligatures w14:val="none"/>
        </w:rPr>
        <w:t> </w:t>
      </w:r>
      <w:r w:rsidRPr="009030FC">
        <w:rPr>
          <w:rFonts w:ascii="Courier New" w:eastAsia="Times New Roman" w:hAnsi="Courier New" w:cs="Courier New"/>
          <w:color w:val="000000"/>
          <w:kern w:val="0"/>
          <w:sz w:val="20"/>
          <w:szCs w:val="20"/>
          <w14:ligatures w14:val="none"/>
        </w:rPr>
        <w:t>diagnostico-por-imagem-coluna-vertebral</w:t>
      </w:r>
    </w:p>
    <w:p w14:paraId="243BF687" w14:textId="77777777" w:rsidR="009030FC" w:rsidRPr="009030FC" w:rsidRDefault="00A47662" w:rsidP="009030FC">
      <w:pPr>
        <w:spacing w:after="0" w:line="240" w:lineRule="auto"/>
        <w:rPr>
          <w:rFonts w:ascii="Times New Roman" w:eastAsia="Times New Roman" w:hAnsi="Times New Roman" w:cs="Times New Roman"/>
          <w:kern w:val="0"/>
          <w14:ligatures w14:val="none"/>
        </w:rPr>
      </w:pPr>
      <w:r w:rsidRPr="00A47662">
        <w:rPr>
          <w:rFonts w:ascii="Times New Roman" w:eastAsia="Times New Roman" w:hAnsi="Times New Roman" w:cs="Times New Roman"/>
          <w:noProof/>
          <w:kern w:val="0"/>
        </w:rPr>
        <w:pict w14:anchorId="4FBFB908">
          <v:rect id="_x0000_i1025" style="width:0;height:1.5pt" o:hralign="center" o:hrstd="t" o:hr="t" fillcolor="#a0a0a0" stroked="f"/>
        </w:pict>
      </w:r>
    </w:p>
    <w:p w14:paraId="6232DF05" w14:textId="77777777" w:rsidR="009030FC" w:rsidRDefault="009030FC"/>
    <w:sectPr w:rsidR="009030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8962E5"/>
    <w:multiLevelType w:val="multilevel"/>
    <w:tmpl w:val="4D4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E0844"/>
    <w:multiLevelType w:val="multilevel"/>
    <w:tmpl w:val="6FFA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01DD9"/>
    <w:multiLevelType w:val="multilevel"/>
    <w:tmpl w:val="760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95F9F"/>
    <w:multiLevelType w:val="multilevel"/>
    <w:tmpl w:val="3C2E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074742">
    <w:abstractNumId w:val="0"/>
  </w:num>
  <w:num w:numId="2" w16cid:durableId="1091320103">
    <w:abstractNumId w:val="3"/>
  </w:num>
  <w:num w:numId="3" w16cid:durableId="1292252698">
    <w:abstractNumId w:val="2"/>
  </w:num>
  <w:num w:numId="4" w16cid:durableId="17274850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FC"/>
    <w:rsid w:val="006F6E99"/>
    <w:rsid w:val="009030FC"/>
    <w:rsid w:val="00A4766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BB860"/>
  <w15:chartTrackingRefBased/>
  <w15:docId w15:val="{F48372C6-736F-424D-A579-098B88C3B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0FC"/>
    <w:rPr>
      <w:rFonts w:eastAsiaTheme="majorEastAsia" w:cstheme="majorBidi"/>
      <w:color w:val="272727" w:themeColor="text1" w:themeTint="D8"/>
    </w:rPr>
  </w:style>
  <w:style w:type="paragraph" w:styleId="Title">
    <w:name w:val="Title"/>
    <w:basedOn w:val="Normal"/>
    <w:next w:val="Normal"/>
    <w:link w:val="TitleChar"/>
    <w:uiPriority w:val="10"/>
    <w:qFormat/>
    <w:rsid w:val="0090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0FC"/>
    <w:pPr>
      <w:spacing w:before="160"/>
      <w:jc w:val="center"/>
    </w:pPr>
    <w:rPr>
      <w:i/>
      <w:iCs/>
      <w:color w:val="404040" w:themeColor="text1" w:themeTint="BF"/>
    </w:rPr>
  </w:style>
  <w:style w:type="character" w:customStyle="1" w:styleId="QuoteChar">
    <w:name w:val="Quote Char"/>
    <w:basedOn w:val="DefaultParagraphFont"/>
    <w:link w:val="Quote"/>
    <w:uiPriority w:val="29"/>
    <w:rsid w:val="009030FC"/>
    <w:rPr>
      <w:i/>
      <w:iCs/>
      <w:color w:val="404040" w:themeColor="text1" w:themeTint="BF"/>
    </w:rPr>
  </w:style>
  <w:style w:type="paragraph" w:styleId="ListParagraph">
    <w:name w:val="List Paragraph"/>
    <w:basedOn w:val="Normal"/>
    <w:uiPriority w:val="34"/>
    <w:qFormat/>
    <w:rsid w:val="009030FC"/>
    <w:pPr>
      <w:ind w:left="720"/>
      <w:contextualSpacing/>
    </w:pPr>
  </w:style>
  <w:style w:type="character" w:styleId="IntenseEmphasis">
    <w:name w:val="Intense Emphasis"/>
    <w:basedOn w:val="DefaultParagraphFont"/>
    <w:uiPriority w:val="21"/>
    <w:qFormat/>
    <w:rsid w:val="009030FC"/>
    <w:rPr>
      <w:i/>
      <w:iCs/>
      <w:color w:val="0F4761" w:themeColor="accent1" w:themeShade="BF"/>
    </w:rPr>
  </w:style>
  <w:style w:type="paragraph" w:styleId="IntenseQuote">
    <w:name w:val="Intense Quote"/>
    <w:basedOn w:val="Normal"/>
    <w:next w:val="Normal"/>
    <w:link w:val="IntenseQuoteChar"/>
    <w:uiPriority w:val="30"/>
    <w:qFormat/>
    <w:rsid w:val="0090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0FC"/>
    <w:rPr>
      <w:i/>
      <w:iCs/>
      <w:color w:val="0F4761" w:themeColor="accent1" w:themeShade="BF"/>
    </w:rPr>
  </w:style>
  <w:style w:type="character" w:styleId="IntenseReference">
    <w:name w:val="Intense Reference"/>
    <w:basedOn w:val="DefaultParagraphFont"/>
    <w:uiPriority w:val="32"/>
    <w:qFormat/>
    <w:rsid w:val="009030FC"/>
    <w:rPr>
      <w:b/>
      <w:bCs/>
      <w:smallCaps/>
      <w:color w:val="0F4761" w:themeColor="accent1" w:themeShade="BF"/>
      <w:spacing w:val="5"/>
    </w:rPr>
  </w:style>
  <w:style w:type="paragraph" w:styleId="NormalWeb">
    <w:name w:val="Normal (Web)"/>
    <w:basedOn w:val="Normal"/>
    <w:uiPriority w:val="99"/>
    <w:semiHidden/>
    <w:unhideWhenUsed/>
    <w:rsid w:val="009030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30FC"/>
    <w:rPr>
      <w:b/>
      <w:bCs/>
    </w:rPr>
  </w:style>
  <w:style w:type="character" w:customStyle="1" w:styleId="apple-converted-space">
    <w:name w:val="apple-converted-space"/>
    <w:basedOn w:val="DefaultParagraphFont"/>
    <w:rsid w:val="009030FC"/>
  </w:style>
  <w:style w:type="character" w:styleId="HTMLCode">
    <w:name w:val="HTML Code"/>
    <w:basedOn w:val="DefaultParagraphFont"/>
    <w:uiPriority w:val="99"/>
    <w:semiHidden/>
    <w:unhideWhenUsed/>
    <w:rsid w:val="009030FC"/>
    <w:rPr>
      <w:rFonts w:ascii="Courier New" w:eastAsia="Times New Roman" w:hAnsi="Courier New" w:cs="Courier New"/>
      <w:sz w:val="20"/>
      <w:szCs w:val="20"/>
    </w:rPr>
  </w:style>
  <w:style w:type="character" w:styleId="Emphasis">
    <w:name w:val="Emphasis"/>
    <w:basedOn w:val="DefaultParagraphFont"/>
    <w:uiPriority w:val="20"/>
    <w:qFormat/>
    <w:rsid w:val="009030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2310</Words>
  <Characters>12362</Characters>
  <Application>Microsoft Office Word</Application>
  <DocSecurity>0</DocSecurity>
  <Lines>494</Lines>
  <Paragraphs>419</Paragraphs>
  <ScaleCrop>false</ScaleCrop>
  <Company/>
  <LinksUpToDate>false</LinksUpToDate>
  <CharactersWithSpaces>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2026-08-19T14:31:00Z</dcterms:created>
  <dcterms:modified xsi:type="dcterms:W3CDTF">2026-08-19T14:33:00Z</dcterms:modified>
</cp:coreProperties>
</file>