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9A5DD5" w14:textId="77777777" w:rsidR="001E088F" w:rsidRPr="001E088F" w:rsidRDefault="001E088F" w:rsidP="001E088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E088F">
        <w:rPr>
          <w:rFonts w:ascii="Times New Roman" w:eastAsia="Times New Roman" w:hAnsi="Times New Roman" w:cs="Times New Roman"/>
          <w:b/>
          <w:bCs/>
          <w:color w:val="000000"/>
          <w:kern w:val="36"/>
          <w:sz w:val="48"/>
          <w:szCs w:val="48"/>
          <w14:ligatures w14:val="none"/>
        </w:rPr>
        <w:t>Capítulo 17 — Diagnóstico Diferencial: Doenças da Coluna e Doenças Neurológicas</w:t>
      </w:r>
    </w:p>
    <w:p w14:paraId="3F0EAC31"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Identificação</w:t>
      </w:r>
    </w:p>
    <w:p w14:paraId="30F09849" w14:textId="51CF6F36"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b/>
          <w:bCs/>
          <w:color w:val="000000"/>
          <w:kern w:val="0"/>
          <w14:ligatures w14:val="none"/>
        </w:rPr>
        <w:t>Número do capítulo:</w:t>
      </w:r>
      <w:r w:rsidRPr="001E088F">
        <w:rPr>
          <w:rFonts w:ascii="Times New Roman" w:eastAsia="Times New Roman" w:hAnsi="Times New Roman" w:cs="Times New Roman"/>
          <w:color w:val="000000"/>
          <w:kern w:val="0"/>
          <w14:ligatures w14:val="none"/>
        </w:rPr>
        <w:t> 17</w:t>
      </w:r>
      <w:r w:rsidRPr="001E088F">
        <w:rPr>
          <w:rFonts w:ascii="Times New Roman" w:eastAsia="Times New Roman" w:hAnsi="Times New Roman" w:cs="Times New Roman"/>
          <w:color w:val="000000"/>
          <w:kern w:val="0"/>
          <w14:ligatures w14:val="none"/>
        </w:rPr>
        <w:br/>
      </w:r>
      <w:r w:rsidRPr="001E088F">
        <w:rPr>
          <w:rFonts w:ascii="Times New Roman" w:eastAsia="Times New Roman" w:hAnsi="Times New Roman" w:cs="Times New Roman"/>
          <w:b/>
          <w:bCs/>
          <w:color w:val="000000"/>
          <w:kern w:val="0"/>
          <w14:ligatures w14:val="none"/>
        </w:rPr>
        <w:t>Título completo:</w:t>
      </w:r>
      <w:r w:rsidRPr="001E088F">
        <w:rPr>
          <w:rFonts w:ascii="Times New Roman" w:eastAsia="Times New Roman" w:hAnsi="Times New Roman" w:cs="Times New Roman"/>
          <w:color w:val="000000"/>
          <w:kern w:val="0"/>
          <w14:ligatures w14:val="none"/>
        </w:rPr>
        <w:t> Diagnóstico Diferencial: Doenças da Coluna e Doenças Neurológicas</w:t>
      </w:r>
      <w:r w:rsidRPr="001E088F">
        <w:rPr>
          <w:rFonts w:ascii="Times New Roman" w:eastAsia="Times New Roman" w:hAnsi="Times New Roman" w:cs="Times New Roman"/>
          <w:color w:val="000000"/>
          <w:kern w:val="0"/>
          <w14:ligatures w14:val="none"/>
        </w:rPr>
        <w:br/>
      </w:r>
      <w:r w:rsidRPr="001E088F">
        <w:rPr>
          <w:rFonts w:ascii="Times New Roman" w:eastAsia="Times New Roman" w:hAnsi="Times New Roman" w:cs="Times New Roman"/>
          <w:b/>
          <w:bCs/>
          <w:color w:val="000000"/>
          <w:kern w:val="0"/>
          <w14:ligatures w14:val="none"/>
        </w:rPr>
        <w:t>Seção do Tratado:</w:t>
      </w:r>
      <w:r w:rsidRPr="001E088F">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2</w:t>
      </w:r>
      <w:r w:rsidRPr="001E088F">
        <w:rPr>
          <w:rFonts w:ascii="Times New Roman" w:eastAsia="Times New Roman" w:hAnsi="Times New Roman" w:cs="Times New Roman"/>
          <w:color w:val="000000"/>
          <w:kern w:val="0"/>
          <w14:ligatures w14:val="none"/>
        </w:rPr>
        <w:t>.</w:t>
      </w:r>
    </w:p>
    <w:p w14:paraId="190F031C"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b/>
          <w:bCs/>
          <w:color w:val="000000"/>
          <w:kern w:val="0"/>
          <w14:ligatures w14:val="none"/>
        </w:rPr>
        <w:t>Autores</w:t>
      </w:r>
    </w:p>
    <w:p w14:paraId="6FF713CC" w14:textId="77777777" w:rsidR="001E088F" w:rsidRPr="001E088F" w:rsidRDefault="001E088F" w:rsidP="001E088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Charles André Carazzo</w:t>
      </w:r>
    </w:p>
    <w:p w14:paraId="74BF7603" w14:textId="77777777" w:rsidR="001E088F" w:rsidRPr="001E088F" w:rsidRDefault="001E088F" w:rsidP="001E088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Werner Petry Silva</w:t>
      </w:r>
    </w:p>
    <w:p w14:paraId="701F497F" w14:textId="77777777" w:rsidR="001E088F" w:rsidRPr="001E088F" w:rsidRDefault="002B3C60" w:rsidP="001E088F">
      <w:pPr>
        <w:spacing w:after="0" w:line="240" w:lineRule="auto"/>
        <w:rPr>
          <w:rFonts w:ascii="Times New Roman" w:eastAsia="Times New Roman" w:hAnsi="Times New Roman" w:cs="Times New Roman"/>
          <w:kern w:val="0"/>
          <w14:ligatures w14:val="none"/>
        </w:rPr>
      </w:pPr>
      <w:r w:rsidRPr="002B3C60">
        <w:rPr>
          <w:rFonts w:ascii="Times New Roman" w:eastAsia="Times New Roman" w:hAnsi="Times New Roman" w:cs="Times New Roman"/>
          <w:noProof/>
          <w:kern w:val="0"/>
        </w:rPr>
        <w:pict w14:anchorId="696046F8">
          <v:rect id="_x0000_i1034" alt="" style="width:468pt;height:.05pt;mso-width-percent:0;mso-height-percent:0;mso-width-percent:0;mso-height-percent:0" o:hralign="center" o:hrstd="t" o:hr="t" fillcolor="#a0a0a0" stroked="f"/>
        </w:pict>
      </w:r>
    </w:p>
    <w:p w14:paraId="7B538971"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Contexto</w:t>
      </w:r>
    </w:p>
    <w:p w14:paraId="4ECC9B14"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Doenças da coluna vertebral e doenças neurológicas primárias compartilham manifestações como dor axial ou irradiada, parestesias, déficits motores e sensitivos, alterações dos reflexos e da marcha. Essa sobreposição decorre da proximidade anatômica entre vértebras, discos, medula espinal e raízes nervosas, mas também ocorre porque afecções do sistema nervoso central ou periférico podem produzir quadros semelhantes aos de compressão vertebral. O desafio clínico é estabelecer se os sintomas resultam de uma lesão mecânica ou inflamatória da coluna, de comprometimento neural compressivo, de doença neurológica intrínseca ou da coexistência de mais de uma condição. Atribuir todo déficit a uma alteração degenerativa de imagem pode atrasar o diagnóstico de esclerose múltipla, doença neuromuscular, neuropatia periférica, mielopatia não compressiva ou tumor medular; o erro inverso pode postergar uma descompressão urgente. Por isso, distribuição anatômica, evolução temporal, sinais de neurônio motor superior ou inferior, sintomas sistêmicos e sinais de alerta devem orientar a investigação.</w:t>
      </w:r>
    </w:p>
    <w:p w14:paraId="1A661ED1"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Objetivo do capítulo</w:t>
      </w:r>
    </w:p>
    <w:p w14:paraId="5AB8F584"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Apresentar uma estratégia clínica para diferenciar doenças da coluna de doenças neurológicas primárias. Ao final, o leitor deverá reconhecer padrões mecânicos, inflamatórios, compressivos e neuropáticos de dor; localizar alterações radiculares, medulares, periféricas ou centrais pelo exame; identificar sinais de alerta que exigem investigação urgente; e selecionar ressonância magnética, eletroneuromiografia, potenciais evocados ou análise do líquido cefalorraquidiano conforme a hipótese diagnóstica e a coerência entre clínica e imagem.</w:t>
      </w:r>
    </w:p>
    <w:p w14:paraId="04AFAEA2" w14:textId="77777777" w:rsidR="001E088F" w:rsidRPr="001E088F" w:rsidRDefault="002B3C60" w:rsidP="001E088F">
      <w:pPr>
        <w:spacing w:after="0" w:line="240" w:lineRule="auto"/>
        <w:rPr>
          <w:rFonts w:ascii="Times New Roman" w:eastAsia="Times New Roman" w:hAnsi="Times New Roman" w:cs="Times New Roman"/>
          <w:kern w:val="0"/>
          <w14:ligatures w14:val="none"/>
        </w:rPr>
      </w:pPr>
      <w:r w:rsidRPr="002B3C60">
        <w:rPr>
          <w:rFonts w:ascii="Times New Roman" w:eastAsia="Times New Roman" w:hAnsi="Times New Roman" w:cs="Times New Roman"/>
          <w:noProof/>
          <w:kern w:val="0"/>
        </w:rPr>
        <w:pict w14:anchorId="0F08EA73">
          <v:rect id="_x0000_i1033" style="width:0;height:1.5pt" o:hralign="center" o:hrstd="t" o:hr="t" fillcolor="#a0a0a0" stroked="f"/>
        </w:pict>
      </w:r>
    </w:p>
    <w:p w14:paraId="62CB42FC" w14:textId="77777777" w:rsidR="001E088F" w:rsidRPr="001E088F" w:rsidRDefault="001E088F" w:rsidP="001E088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E088F">
        <w:rPr>
          <w:rFonts w:ascii="Times New Roman" w:eastAsia="Times New Roman" w:hAnsi="Times New Roman" w:cs="Times New Roman"/>
          <w:b/>
          <w:bCs/>
          <w:color w:val="000000"/>
          <w:kern w:val="36"/>
          <w:sz w:val="48"/>
          <w:szCs w:val="48"/>
          <w14:ligatures w14:val="none"/>
        </w:rPr>
        <w:lastRenderedPageBreak/>
        <w:t>Conteúdo principal</w:t>
      </w:r>
    </w:p>
    <w:p w14:paraId="2AD597FD"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Padrão da dor e localização neurológica</w:t>
      </w:r>
    </w:p>
    <w:p w14:paraId="5F34819A"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O capítulo diferencia quatro padrões. A dor mecânica relaciona-se a movimento e postura, tende a piorar com atividade e melhorar com repouso. A dor inflamatória associa-se a rigidez matinal prolongada, melhora com atividade e piora no repouso. A dor compressiva acompanha a irritação de raiz ou medula, com irradiação, parestesias, dormência ou fraqueza em distribuição dermatômica ou miotômica. A dor neuropática decorre de lesão ou disfunção do sistema nervoso e pode ser descrita como queimação, choque, formigamento, pontadas, alodinia ou hiperalgesia.</w:t>
      </w:r>
    </w:p>
    <w:p w14:paraId="7C5CCFBA"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Déficit focal compatível com uma raiz favorece radiculopatia. Em contraste, acometimento de múltiplos territórios, nível sensitivo bilateral, hiperreflexia difusa, espasticidade, Babinski, clônus, ataxia, nistagmo, disartria ou alteração cognitiva ampliam a hipótese para doença central ou neurológica primária. A cronologia também orienta: início agudo e progressão rápida sugerem trauma, compressão grave, isquemia ou hemorragia; evolução insidiosa pode ocorrer tanto em estenose quanto em doenças neurológicas progressivas; flutuação ao longo do dia é uma pista adicional para disfunções neuromusculares.</w:t>
      </w:r>
    </w:p>
    <w:p w14:paraId="0F9A0A29"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Doenças da coluna e sinais de alerta</w:t>
      </w:r>
    </w:p>
    <w:p w14:paraId="2384767A"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Hérnia discal, estenose espinal e espondilolistese podem produzir dor radicular, alteração sensitiva, fraqueza e redução de reflexos. Sintomas bilaterais, anestesia em sela, disfunção esfincteriana, fraqueza rapidamente progressiva ou sinais de trato longo sugerem comprometimento medular ou da cauda equina. Na estenose lombar, a claudicação neurogênica costuma surgir com marcha ou ortostatismo e aliviar com flexão ou posição sentada.</w:t>
      </w:r>
    </w:p>
    <w:p w14:paraId="2BC1E6E9"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Espondilite anquilosante, fraturas e tumores vertebrais também podem associar sintomas neurológicos. Déficits desproporcionais à alteração estrutural, progressão sem explicação mecânica, múltiplos níveis afetados, dor persistente não aliviada pelo repouso ou pior à noite exigem investigação de mielopatias, tumores medulares, metástases, carcinomatose meníngea ou síndromes paraneoplásicas.</w:t>
      </w:r>
    </w:p>
    <w:p w14:paraId="48C44226"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Doenças neurológicas que mimetizam afecções vertebrais</w:t>
      </w:r>
    </w:p>
    <w:p w14:paraId="2C2A8CEA"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Na esclerose múltipla, sintomas sensitivos tendem a ser multifocais ou não dermatômicos e podem coexistir com neurite óptica, diplopia, ataxia, nistagmo ou disfunção esfincteriana sem compressão correspondente. Na doença de Parkinson, dor e rigidez axial, marcha arrastada e desequilíbrio podem simular estenose ou mielopatia, mas bradicinesia e tremor de repouso orientam o diagnóstico.</w:t>
      </w:r>
    </w:p>
    <w:p w14:paraId="776CB011"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 xml:space="preserve">Doenças neuromusculares, incluindo esclerose lateral amiotrófica, podem combinar atrofia e fasciculações com hiperreflexia e espasticidade em vários territórios. Neuropatias periféricas costumam produzir padrão distal, simétrico, em “luva e meia”, enquanto mielopatias não </w:t>
      </w:r>
      <w:r w:rsidRPr="001E088F">
        <w:rPr>
          <w:rFonts w:ascii="Times New Roman" w:eastAsia="Times New Roman" w:hAnsi="Times New Roman" w:cs="Times New Roman"/>
          <w:color w:val="000000"/>
          <w:kern w:val="0"/>
          <w14:ligatures w14:val="none"/>
        </w:rPr>
        <w:lastRenderedPageBreak/>
        <w:t>compressivas apresentam nível sensitivo e sinais de neurônio motor superior sem compressão relevante na ressonância magnética. Tumores medulares podem causar dor axial ou radicular, nível sensitivo, fraqueza progressiva e disfunção esfincteriana.</w:t>
      </w:r>
    </w:p>
    <w:p w14:paraId="1FAB6BD2"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Estratégia diagnóstica</w:t>
      </w:r>
    </w:p>
    <w:p w14:paraId="0E54237F"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O exame deve integrar força graduada por miótomos, sensibilidade dermatômica e por nível, reflexos, sinais patológicos, marcha, equilíbrio e coordenação. Ressonância magnética avalia disco, raízes, medula, inflamação e tumores; eletroneuromiografia diferencia radiculopatia, plexopatia e neuropatia periférica; potenciais evocados investigam vias longas; e o líquido cefalorraquidiano auxilia nas hipóteses inflamatórias, infecciosas ou desmielinizantes.</w:t>
      </w:r>
    </w:p>
    <w:p w14:paraId="4CE26832"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O algoritmo da Figura 17.1, na página 236, parte da anamnese e do exame físico. Na presença de sinais de alerta, a ressonância magnética é apresentada como o próximo passo frequente. Na ausência de sinais de alerta e diante de dor mecânica, admite-se tratamento conservador inicial. Quando a ressonância não explica o quadro neurológico, a investigação prossegue com métodos direcionados às causas neurológicas primárias. A Tabela 17.1, nas páginas 236 a 238, sintetiza as principais pistas clínicas e os exames complementares relacionados a cada grupo de doenças.</w:t>
      </w:r>
    </w:p>
    <w:p w14:paraId="24C434AF"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Aplicação clínica</w:t>
      </w:r>
    </w:p>
    <w:p w14:paraId="1625F458"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Na prática, o primeiro passo é decidir se o padrão apresentado é focal e anatomicamente compatível com uma raiz, difuso ou multifocal, ou organizado como uma síndrome medular. Dor irradiada associada a déficit motor, sensitivo e reflexo no mesmo território sustenta radiculopatia; sinais de trato longo, nível sensitivo, alterações cerebelares, comprometimento de vários segmentos ou sintomas que flutuam exigem ampliar a investigação.</w:t>
      </w:r>
    </w:p>
    <w:p w14:paraId="491B947B"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Disfunção esfincteriana aguda, anestesia em sela, fraqueza rapidamente progressiva, sintomas bilaterais, dor noturna persistente ou sinais sistêmicos modificam a urgência da avaliação. Nesses cenários, a imagem deve ser obtida prontamente e o paciente encaminhado conforme a suspeita compressiva, neurológica ou oncológica.</w:t>
      </w:r>
    </w:p>
    <w:p w14:paraId="421C1B95"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Quando a ressonância magnética demonstra uma alteração, o cirurgião deve verificar se nível, lateralidade e intensidade da compressão explicam todo o quadro. Achados degenerativos incidentais não devem encerrar o raciocínio. Se a imagem for normal ou insuficiente para justificar os sintomas, a eletroneuromiografia pode distinguir raiz, plexo e nervo periférico; potenciais evocados e análise do líquido cefalorraquidiano podem contribuir nas suspeitas de doença desmielinizante, inflamatória ou infecciosa. A decisão deve integrar clínica, imagem, neurofisiologia e, quando necessário, avaliação multidisciplinar.</w:t>
      </w:r>
    </w:p>
    <w:p w14:paraId="4B5B085B"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Mensagem central</w:t>
      </w:r>
    </w:p>
    <w:p w14:paraId="7E5C741B"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 xml:space="preserve">O diagnóstico diferencial entre doenças da coluna e doenças neurológicas exige localizar o déficit antes de atribuí-lo a uma imagem. Padrão da dor, distribuição sensitiva, força, reflexos, marcha, coordenação e evolução temporal definem a hipótese; ressonância magnética, </w:t>
      </w:r>
      <w:r w:rsidRPr="001E088F">
        <w:rPr>
          <w:rFonts w:ascii="Times New Roman" w:eastAsia="Times New Roman" w:hAnsi="Times New Roman" w:cs="Times New Roman"/>
          <w:color w:val="000000"/>
          <w:kern w:val="0"/>
          <w14:ligatures w14:val="none"/>
        </w:rPr>
        <w:lastRenderedPageBreak/>
        <w:t>eletroneuromiografia, potenciais evocados e líquido cefalorraquidiano a testam. Sinais de alerta determinam urgência, e discrepância clínico-radiológica deve sempre reabrir a investigação.</w:t>
      </w:r>
    </w:p>
    <w:p w14:paraId="3BDF22F9" w14:textId="77777777" w:rsidR="001E088F" w:rsidRPr="001E088F" w:rsidRDefault="002B3C60" w:rsidP="001E088F">
      <w:pPr>
        <w:spacing w:after="0" w:line="240" w:lineRule="auto"/>
        <w:rPr>
          <w:rFonts w:ascii="Times New Roman" w:eastAsia="Times New Roman" w:hAnsi="Times New Roman" w:cs="Times New Roman"/>
          <w:kern w:val="0"/>
          <w14:ligatures w14:val="none"/>
        </w:rPr>
      </w:pPr>
      <w:r w:rsidRPr="002B3C60">
        <w:rPr>
          <w:rFonts w:ascii="Times New Roman" w:eastAsia="Times New Roman" w:hAnsi="Times New Roman" w:cs="Times New Roman"/>
          <w:noProof/>
          <w:kern w:val="0"/>
        </w:rPr>
        <w:pict w14:anchorId="63CE29B4">
          <v:rect id="_x0000_i1032" style="width:0;height:1.5pt" o:hralign="center" o:hrstd="t" o:hr="t" fillcolor="#a0a0a0" stroked="f"/>
        </w:pict>
      </w:r>
    </w:p>
    <w:p w14:paraId="7A4D8B56"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Por que este capítulo importa</w:t>
      </w:r>
    </w:p>
    <w:p w14:paraId="0BE75D21"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Dor, parestesias, fraqueza e alteração da marcha podem resultar de compressão vertebral, doença do sistema nervoso ou da coexistência de ambas. Confundir esses cenários pode levar tanto a uma cirurgia dirigida a um achado incidental quanto ao atraso de uma descompressão urgente ou do diagnóstico de esclerose múltipla, neuropatia, doença neuromuscular ou tumor medular. O capítulo oferece uma sequência prática para reconhecer padrões, localizar o comprometimento, identificar sinais de alerta e selecionar exames capazes de explicar a discrepância entre clínica e imagem.</w:t>
      </w:r>
    </w:p>
    <w:p w14:paraId="45EC6A45" w14:textId="77777777" w:rsidR="001E088F" w:rsidRPr="001E088F" w:rsidRDefault="002B3C60" w:rsidP="001E088F">
      <w:pPr>
        <w:spacing w:after="0" w:line="240" w:lineRule="auto"/>
        <w:rPr>
          <w:rFonts w:ascii="Times New Roman" w:eastAsia="Times New Roman" w:hAnsi="Times New Roman" w:cs="Times New Roman"/>
          <w:kern w:val="0"/>
          <w14:ligatures w14:val="none"/>
        </w:rPr>
      </w:pPr>
      <w:r w:rsidRPr="002B3C60">
        <w:rPr>
          <w:rFonts w:ascii="Times New Roman" w:eastAsia="Times New Roman" w:hAnsi="Times New Roman" w:cs="Times New Roman"/>
          <w:noProof/>
          <w:kern w:val="0"/>
        </w:rPr>
        <w:pict w14:anchorId="63E3AAFF">
          <v:rect id="_x0000_i1031" style="width:0;height:1.5pt" o:hralign="center" o:hrstd="t" o:hr="t" fillcolor="#a0a0a0" stroked="f"/>
        </w:pict>
      </w:r>
    </w:p>
    <w:p w14:paraId="19B5A426"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Palavras-chave e descritores</w:t>
      </w:r>
    </w:p>
    <w:p w14:paraId="6866F96E" w14:textId="77777777" w:rsidR="001E088F" w:rsidRPr="001E088F" w:rsidRDefault="001E088F" w:rsidP="001E08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E088F">
        <w:rPr>
          <w:rFonts w:ascii="Times New Roman" w:eastAsia="Times New Roman" w:hAnsi="Times New Roman" w:cs="Times New Roman"/>
          <w:b/>
          <w:bCs/>
          <w:color w:val="000000"/>
          <w:kern w:val="0"/>
          <w:sz w:val="27"/>
          <w:szCs w:val="27"/>
          <w14:ligatures w14:val="none"/>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1"/>
        <w:gridCol w:w="3601"/>
      </w:tblGrid>
      <w:tr w:rsidR="001E088F" w:rsidRPr="001E088F" w14:paraId="2FE0FA6A" w14:textId="77777777">
        <w:trPr>
          <w:tblHeader/>
          <w:tblCellSpacing w:w="15" w:type="dxa"/>
        </w:trPr>
        <w:tc>
          <w:tcPr>
            <w:tcW w:w="0" w:type="auto"/>
            <w:vAlign w:val="center"/>
            <w:hideMark/>
          </w:tcPr>
          <w:p w14:paraId="517BD092" w14:textId="77777777" w:rsidR="001E088F" w:rsidRPr="001E088F" w:rsidRDefault="001E088F" w:rsidP="001E088F">
            <w:pPr>
              <w:spacing w:after="0" w:line="240" w:lineRule="auto"/>
              <w:jc w:val="center"/>
              <w:rPr>
                <w:rFonts w:ascii="Times New Roman" w:eastAsia="Times New Roman" w:hAnsi="Times New Roman" w:cs="Times New Roman"/>
                <w:b/>
                <w:bCs/>
                <w:color w:val="000000"/>
                <w:kern w:val="0"/>
                <w14:ligatures w14:val="none"/>
              </w:rPr>
            </w:pPr>
            <w:r w:rsidRPr="001E088F">
              <w:rPr>
                <w:rFonts w:ascii="Times New Roman" w:eastAsia="Times New Roman" w:hAnsi="Times New Roman" w:cs="Times New Roman"/>
                <w:b/>
                <w:bCs/>
                <w:color w:val="000000"/>
                <w:kern w:val="0"/>
                <w14:ligatures w14:val="none"/>
              </w:rPr>
              <w:t>DeCS — português</w:t>
            </w:r>
          </w:p>
        </w:tc>
        <w:tc>
          <w:tcPr>
            <w:tcW w:w="0" w:type="auto"/>
            <w:vAlign w:val="center"/>
            <w:hideMark/>
          </w:tcPr>
          <w:p w14:paraId="15FD4230" w14:textId="77777777" w:rsidR="001E088F" w:rsidRPr="001E088F" w:rsidRDefault="001E088F" w:rsidP="001E088F">
            <w:pPr>
              <w:spacing w:after="0" w:line="240" w:lineRule="auto"/>
              <w:jc w:val="center"/>
              <w:rPr>
                <w:rFonts w:ascii="Times New Roman" w:eastAsia="Times New Roman" w:hAnsi="Times New Roman" w:cs="Times New Roman"/>
                <w:b/>
                <w:bCs/>
                <w:color w:val="000000"/>
                <w:kern w:val="0"/>
                <w14:ligatures w14:val="none"/>
              </w:rPr>
            </w:pPr>
            <w:r w:rsidRPr="001E088F">
              <w:rPr>
                <w:rFonts w:ascii="Times New Roman" w:eastAsia="Times New Roman" w:hAnsi="Times New Roman" w:cs="Times New Roman"/>
                <w:b/>
                <w:bCs/>
                <w:color w:val="000000"/>
                <w:kern w:val="0"/>
                <w14:ligatures w14:val="none"/>
              </w:rPr>
              <w:t>MeSH — inglês</w:t>
            </w:r>
          </w:p>
        </w:tc>
      </w:tr>
      <w:tr w:rsidR="001E088F" w:rsidRPr="001E088F" w14:paraId="60FD6096" w14:textId="77777777">
        <w:trPr>
          <w:tblCellSpacing w:w="15" w:type="dxa"/>
        </w:trPr>
        <w:tc>
          <w:tcPr>
            <w:tcW w:w="0" w:type="auto"/>
            <w:vAlign w:val="center"/>
            <w:hideMark/>
          </w:tcPr>
          <w:p w14:paraId="64F37937"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Diagnóstico Diferencial</w:t>
            </w:r>
          </w:p>
        </w:tc>
        <w:tc>
          <w:tcPr>
            <w:tcW w:w="0" w:type="auto"/>
            <w:vAlign w:val="center"/>
            <w:hideMark/>
          </w:tcPr>
          <w:p w14:paraId="6B7E2279"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Diagnosis, Differential</w:t>
            </w:r>
          </w:p>
        </w:tc>
      </w:tr>
      <w:tr w:rsidR="001E088F" w:rsidRPr="001E088F" w14:paraId="367ECFAD" w14:textId="77777777">
        <w:trPr>
          <w:tblCellSpacing w:w="15" w:type="dxa"/>
        </w:trPr>
        <w:tc>
          <w:tcPr>
            <w:tcW w:w="0" w:type="auto"/>
            <w:vAlign w:val="center"/>
            <w:hideMark/>
          </w:tcPr>
          <w:p w14:paraId="736F323B"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Doenças da Coluna Vertebral</w:t>
            </w:r>
          </w:p>
        </w:tc>
        <w:tc>
          <w:tcPr>
            <w:tcW w:w="0" w:type="auto"/>
            <w:vAlign w:val="center"/>
            <w:hideMark/>
          </w:tcPr>
          <w:p w14:paraId="0BE6F62D"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Spinal Diseases</w:t>
            </w:r>
          </w:p>
        </w:tc>
      </w:tr>
      <w:tr w:rsidR="001E088F" w:rsidRPr="001E088F" w14:paraId="21548251" w14:textId="77777777">
        <w:trPr>
          <w:tblCellSpacing w:w="15" w:type="dxa"/>
        </w:trPr>
        <w:tc>
          <w:tcPr>
            <w:tcW w:w="0" w:type="auto"/>
            <w:vAlign w:val="center"/>
            <w:hideMark/>
          </w:tcPr>
          <w:p w14:paraId="39F1E395"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Doenças do Sistema Nervoso</w:t>
            </w:r>
          </w:p>
        </w:tc>
        <w:tc>
          <w:tcPr>
            <w:tcW w:w="0" w:type="auto"/>
            <w:vAlign w:val="center"/>
            <w:hideMark/>
          </w:tcPr>
          <w:p w14:paraId="0FB4ACC4"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Nervous System Diseases</w:t>
            </w:r>
          </w:p>
        </w:tc>
      </w:tr>
      <w:tr w:rsidR="001E088F" w:rsidRPr="001E088F" w14:paraId="2D86438B" w14:textId="77777777">
        <w:trPr>
          <w:tblCellSpacing w:w="15" w:type="dxa"/>
        </w:trPr>
        <w:tc>
          <w:tcPr>
            <w:tcW w:w="0" w:type="auto"/>
            <w:vAlign w:val="center"/>
            <w:hideMark/>
          </w:tcPr>
          <w:p w14:paraId="42183039"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Doenças da Medula Espinal</w:t>
            </w:r>
          </w:p>
        </w:tc>
        <w:tc>
          <w:tcPr>
            <w:tcW w:w="0" w:type="auto"/>
            <w:vAlign w:val="center"/>
            <w:hideMark/>
          </w:tcPr>
          <w:p w14:paraId="34FEC988"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Spinal Cord Diseases</w:t>
            </w:r>
          </w:p>
        </w:tc>
      </w:tr>
      <w:tr w:rsidR="001E088F" w:rsidRPr="001E088F" w14:paraId="15087DC1" w14:textId="77777777">
        <w:trPr>
          <w:tblCellSpacing w:w="15" w:type="dxa"/>
        </w:trPr>
        <w:tc>
          <w:tcPr>
            <w:tcW w:w="0" w:type="auto"/>
            <w:vAlign w:val="center"/>
            <w:hideMark/>
          </w:tcPr>
          <w:p w14:paraId="12D9FCDF"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Doenças do Sistema Nervoso Periférico</w:t>
            </w:r>
          </w:p>
        </w:tc>
        <w:tc>
          <w:tcPr>
            <w:tcW w:w="0" w:type="auto"/>
            <w:vAlign w:val="center"/>
            <w:hideMark/>
          </w:tcPr>
          <w:p w14:paraId="4FC6B487"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Peripheral Nervous System Diseases</w:t>
            </w:r>
          </w:p>
        </w:tc>
      </w:tr>
      <w:tr w:rsidR="001E088F" w:rsidRPr="001E088F" w14:paraId="6E6E8532" w14:textId="77777777">
        <w:trPr>
          <w:tblCellSpacing w:w="15" w:type="dxa"/>
        </w:trPr>
        <w:tc>
          <w:tcPr>
            <w:tcW w:w="0" w:type="auto"/>
            <w:vAlign w:val="center"/>
            <w:hideMark/>
          </w:tcPr>
          <w:p w14:paraId="01CD1F5F"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Radiculopatia</w:t>
            </w:r>
          </w:p>
        </w:tc>
        <w:tc>
          <w:tcPr>
            <w:tcW w:w="0" w:type="auto"/>
            <w:vAlign w:val="center"/>
            <w:hideMark/>
          </w:tcPr>
          <w:p w14:paraId="35393337"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Radiculopathy</w:t>
            </w:r>
          </w:p>
        </w:tc>
      </w:tr>
      <w:tr w:rsidR="001E088F" w:rsidRPr="001E088F" w14:paraId="00011CAA" w14:textId="77777777">
        <w:trPr>
          <w:tblCellSpacing w:w="15" w:type="dxa"/>
        </w:trPr>
        <w:tc>
          <w:tcPr>
            <w:tcW w:w="0" w:type="auto"/>
            <w:vAlign w:val="center"/>
            <w:hideMark/>
          </w:tcPr>
          <w:p w14:paraId="20F8B332"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Exame Neurológico</w:t>
            </w:r>
          </w:p>
        </w:tc>
        <w:tc>
          <w:tcPr>
            <w:tcW w:w="0" w:type="auto"/>
            <w:vAlign w:val="center"/>
            <w:hideMark/>
          </w:tcPr>
          <w:p w14:paraId="7FFF4B85"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Neurologic Examination</w:t>
            </w:r>
          </w:p>
        </w:tc>
      </w:tr>
      <w:tr w:rsidR="001E088F" w:rsidRPr="001E088F" w14:paraId="1C4F9771" w14:textId="77777777">
        <w:trPr>
          <w:tblCellSpacing w:w="15" w:type="dxa"/>
        </w:trPr>
        <w:tc>
          <w:tcPr>
            <w:tcW w:w="0" w:type="auto"/>
            <w:vAlign w:val="center"/>
            <w:hideMark/>
          </w:tcPr>
          <w:p w14:paraId="45B55616"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Eletromiografia</w:t>
            </w:r>
          </w:p>
        </w:tc>
        <w:tc>
          <w:tcPr>
            <w:tcW w:w="0" w:type="auto"/>
            <w:vAlign w:val="center"/>
            <w:hideMark/>
          </w:tcPr>
          <w:p w14:paraId="58B469E7" w14:textId="77777777" w:rsidR="001E088F" w:rsidRPr="001E088F" w:rsidRDefault="001E088F" w:rsidP="001E088F">
            <w:pPr>
              <w:spacing w:after="0"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Electromyography</w:t>
            </w:r>
          </w:p>
        </w:tc>
      </w:tr>
    </w:tbl>
    <w:p w14:paraId="77EE9CFD" w14:textId="77777777" w:rsidR="001E088F" w:rsidRPr="001E088F" w:rsidRDefault="001E088F" w:rsidP="001E08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E088F">
        <w:rPr>
          <w:rFonts w:ascii="Times New Roman" w:eastAsia="Times New Roman" w:hAnsi="Times New Roman" w:cs="Times New Roman"/>
          <w:b/>
          <w:bCs/>
          <w:color w:val="000000"/>
          <w:kern w:val="0"/>
          <w:sz w:val="27"/>
          <w:szCs w:val="27"/>
          <w14:ligatures w14:val="none"/>
        </w:rPr>
        <w:t>Palavras-chave livres adicionais</w:t>
      </w:r>
    </w:p>
    <w:p w14:paraId="18099BE3"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b/>
          <w:bCs/>
          <w:color w:val="000000"/>
          <w:kern w:val="0"/>
          <w14:ligatures w14:val="none"/>
        </w:rPr>
        <w:t>Discrepância clínico-radiológica; sinais de alerta neurológicos; mielopatia compressiva; mielopatia não compressiva; nível sensitivo; sinais de neurônio motor superior; sinais de neurônio motor inferior; análise do líquido cefalorraquidiano.</w:t>
      </w:r>
    </w:p>
    <w:p w14:paraId="07279366" w14:textId="77777777" w:rsidR="001E088F" w:rsidRPr="001E088F" w:rsidRDefault="002B3C60" w:rsidP="001E088F">
      <w:pPr>
        <w:spacing w:after="0" w:line="240" w:lineRule="auto"/>
        <w:rPr>
          <w:rFonts w:ascii="Times New Roman" w:eastAsia="Times New Roman" w:hAnsi="Times New Roman" w:cs="Times New Roman"/>
          <w:kern w:val="0"/>
          <w14:ligatures w14:val="none"/>
        </w:rPr>
      </w:pPr>
      <w:r w:rsidRPr="002B3C60">
        <w:rPr>
          <w:rFonts w:ascii="Times New Roman" w:eastAsia="Times New Roman" w:hAnsi="Times New Roman" w:cs="Times New Roman"/>
          <w:noProof/>
          <w:kern w:val="0"/>
        </w:rPr>
        <w:pict w14:anchorId="75B65796">
          <v:rect id="_x0000_i1030" style="width:0;height:1.5pt" o:hralign="center" o:hrstd="t" o:hr="t" fillcolor="#a0a0a0" stroked="f"/>
        </w:pict>
      </w:r>
    </w:p>
    <w:p w14:paraId="144E5CCA" w14:textId="77777777" w:rsidR="001E088F" w:rsidRPr="001E088F" w:rsidRDefault="001E088F" w:rsidP="001E088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E088F">
        <w:rPr>
          <w:rFonts w:ascii="Times New Roman" w:eastAsia="Times New Roman" w:hAnsi="Times New Roman" w:cs="Times New Roman"/>
          <w:b/>
          <w:bCs/>
          <w:color w:val="000000"/>
          <w:kern w:val="36"/>
          <w:sz w:val="48"/>
          <w:szCs w:val="48"/>
          <w14:ligatures w14:val="none"/>
        </w:rPr>
        <w:t>Três cards de destaque</w:t>
      </w:r>
    </w:p>
    <w:p w14:paraId="1D4A75B8"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lastRenderedPageBreak/>
        <w:t>Card 1 — Conceito essencial</w:t>
      </w:r>
    </w:p>
    <w:p w14:paraId="4C92E07F" w14:textId="77777777" w:rsidR="001E088F" w:rsidRPr="001E088F" w:rsidRDefault="001E088F" w:rsidP="001E08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E088F">
        <w:rPr>
          <w:rFonts w:ascii="Times New Roman" w:eastAsia="Times New Roman" w:hAnsi="Times New Roman" w:cs="Times New Roman"/>
          <w:b/>
          <w:bCs/>
          <w:color w:val="000000"/>
          <w:kern w:val="0"/>
          <w:sz w:val="27"/>
          <w:szCs w:val="27"/>
          <w14:ligatures w14:val="none"/>
        </w:rPr>
        <w:t>Localize antes de nomear</w:t>
      </w:r>
    </w:p>
    <w:p w14:paraId="39BB3B02"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Antes de nomear a doença, determine onde está a lesão. Déficit em um único dermátomo ou miótomo favorece radiculopatia; nível sensitivo bilateral e sinais de trato longo sugerem medula; padrão distal simétrico favorece neuropatia periférica; ataxia, nistagmo ou alterações cognitivas ampliam a investigação para o sistema nervoso central.</w:t>
      </w:r>
    </w:p>
    <w:p w14:paraId="5ED39185" w14:textId="77777777" w:rsidR="001E088F" w:rsidRPr="001E088F" w:rsidRDefault="002B3C60" w:rsidP="001E088F">
      <w:pPr>
        <w:spacing w:after="0" w:line="240" w:lineRule="auto"/>
        <w:rPr>
          <w:rFonts w:ascii="Times New Roman" w:eastAsia="Times New Roman" w:hAnsi="Times New Roman" w:cs="Times New Roman"/>
          <w:kern w:val="0"/>
          <w14:ligatures w14:val="none"/>
        </w:rPr>
      </w:pPr>
      <w:r w:rsidRPr="002B3C60">
        <w:rPr>
          <w:rFonts w:ascii="Times New Roman" w:eastAsia="Times New Roman" w:hAnsi="Times New Roman" w:cs="Times New Roman"/>
          <w:noProof/>
          <w:kern w:val="0"/>
        </w:rPr>
        <w:pict w14:anchorId="537C6E03">
          <v:rect id="_x0000_i1029" style="width:0;height:1.5pt" o:hralign="center" o:hrstd="t" o:hr="t" fillcolor="#a0a0a0" stroked="f"/>
        </w:pict>
      </w:r>
    </w:p>
    <w:p w14:paraId="75827454"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Card 2 — Decisão clínica</w:t>
      </w:r>
    </w:p>
    <w:p w14:paraId="28B5B2A1" w14:textId="77777777" w:rsidR="001E088F" w:rsidRPr="001E088F" w:rsidRDefault="001E088F" w:rsidP="001E08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E088F">
        <w:rPr>
          <w:rFonts w:ascii="Times New Roman" w:eastAsia="Times New Roman" w:hAnsi="Times New Roman" w:cs="Times New Roman"/>
          <w:b/>
          <w:bCs/>
          <w:color w:val="000000"/>
          <w:kern w:val="0"/>
          <w:sz w:val="27"/>
          <w:szCs w:val="27"/>
          <w14:ligatures w14:val="none"/>
        </w:rPr>
        <w:t>A imagem deve explicar</w:t>
      </w:r>
    </w:p>
    <w:p w14:paraId="5D92848E"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Uma hérnia, estenose ou espondilolistese na ressonância só tem valor causal quando concorda com nível, lateralidade, distribuição da dor, força, sensibilidade e reflexos. Se a imagem não explica todo o quadro, mantenha hipóteses neurológicas e utilize eletroneuromiografia, potenciais evocados ou líquido cefalorraquidiano conforme a pergunta clínica.</w:t>
      </w:r>
    </w:p>
    <w:p w14:paraId="58F43305" w14:textId="77777777" w:rsidR="001E088F" w:rsidRPr="001E088F" w:rsidRDefault="002B3C60" w:rsidP="001E088F">
      <w:pPr>
        <w:spacing w:after="0" w:line="240" w:lineRule="auto"/>
        <w:rPr>
          <w:rFonts w:ascii="Times New Roman" w:eastAsia="Times New Roman" w:hAnsi="Times New Roman" w:cs="Times New Roman"/>
          <w:kern w:val="0"/>
          <w14:ligatures w14:val="none"/>
        </w:rPr>
      </w:pPr>
      <w:r w:rsidRPr="002B3C60">
        <w:rPr>
          <w:rFonts w:ascii="Times New Roman" w:eastAsia="Times New Roman" w:hAnsi="Times New Roman" w:cs="Times New Roman"/>
          <w:noProof/>
          <w:kern w:val="0"/>
        </w:rPr>
        <w:pict w14:anchorId="14818C86">
          <v:rect id="_x0000_i1028" style="width:0;height:1.5pt" o:hralign="center" o:hrstd="t" o:hr="t" fillcolor="#a0a0a0" stroked="f"/>
        </w:pict>
      </w:r>
    </w:p>
    <w:p w14:paraId="2B563530" w14:textId="77777777" w:rsidR="001E088F" w:rsidRPr="001E088F" w:rsidRDefault="001E088F" w:rsidP="001E088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E088F">
        <w:rPr>
          <w:rFonts w:ascii="Times New Roman" w:eastAsia="Times New Roman" w:hAnsi="Times New Roman" w:cs="Times New Roman"/>
          <w:b/>
          <w:bCs/>
          <w:color w:val="000000"/>
          <w:kern w:val="0"/>
          <w:sz w:val="36"/>
          <w:szCs w:val="36"/>
          <w14:ligatures w14:val="none"/>
        </w:rPr>
        <w:t>Card 3 — Pérola ou alerta</w:t>
      </w:r>
    </w:p>
    <w:p w14:paraId="25433B45" w14:textId="77777777" w:rsidR="001E088F" w:rsidRPr="001E088F" w:rsidRDefault="001E088F" w:rsidP="001E088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E088F">
        <w:rPr>
          <w:rFonts w:ascii="Times New Roman" w:eastAsia="Times New Roman" w:hAnsi="Times New Roman" w:cs="Times New Roman"/>
          <w:b/>
          <w:bCs/>
          <w:color w:val="000000"/>
          <w:kern w:val="0"/>
          <w:sz w:val="27"/>
          <w:szCs w:val="27"/>
          <w14:ligatures w14:val="none"/>
        </w:rPr>
        <w:t>Red flags mudam a urgência</w:t>
      </w:r>
    </w:p>
    <w:p w14:paraId="1F458ED3"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Disfunção esfincteriana aguda, anestesia em sela, fraqueza rapidamente progressiva, sintomas bilaterais, nível sensitivo, hiperreflexia com Babinski ou clônus e dor noturna persistente exigem mudança imediata de prioridade. Esses achados podem indicar compressão medular ou da cauda equina, mielopatia não compressiva ou neoplasia e não devem ser tratados como radiculopatia simples.</w:t>
      </w:r>
    </w:p>
    <w:p w14:paraId="4A84F670" w14:textId="77777777" w:rsidR="001E088F" w:rsidRPr="001E088F" w:rsidRDefault="002B3C60" w:rsidP="001E088F">
      <w:pPr>
        <w:spacing w:after="0" w:line="240" w:lineRule="auto"/>
        <w:rPr>
          <w:rFonts w:ascii="Times New Roman" w:eastAsia="Times New Roman" w:hAnsi="Times New Roman" w:cs="Times New Roman"/>
          <w:kern w:val="0"/>
          <w14:ligatures w14:val="none"/>
        </w:rPr>
      </w:pPr>
      <w:r w:rsidRPr="002B3C60">
        <w:rPr>
          <w:rFonts w:ascii="Times New Roman" w:eastAsia="Times New Roman" w:hAnsi="Times New Roman" w:cs="Times New Roman"/>
          <w:noProof/>
          <w:kern w:val="0"/>
        </w:rPr>
        <w:pict w14:anchorId="0348AAEE">
          <v:rect id="_x0000_i1027" style="width:0;height:1.5pt" o:hralign="center" o:hrstd="t" o:hr="t" fillcolor="#a0a0a0" stroked="f"/>
        </w:pict>
      </w:r>
    </w:p>
    <w:p w14:paraId="69EF12F5" w14:textId="77777777" w:rsidR="001E088F" w:rsidRPr="001E088F" w:rsidRDefault="001E088F" w:rsidP="001E088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E088F">
        <w:rPr>
          <w:rFonts w:ascii="Times New Roman" w:eastAsia="Times New Roman" w:hAnsi="Times New Roman" w:cs="Times New Roman"/>
          <w:b/>
          <w:bCs/>
          <w:color w:val="000000"/>
          <w:kern w:val="36"/>
          <w:sz w:val="48"/>
          <w:szCs w:val="48"/>
          <w14:ligatures w14:val="none"/>
        </w:rPr>
        <w:t>Referências bibliográficas</w:t>
      </w:r>
    </w:p>
    <w:p w14:paraId="754262F8"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Krasin E, Schermann H, Snir N, Tudor A, Behrbalk E. A quick and comprehensive guide to differential diagnosis of neck and back pain: a narrative review. SN Compr Clin Med. 2022;4(1):232.</w:t>
      </w:r>
    </w:p>
    <w:p w14:paraId="0EDBC81F"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Afonso Jr AS, Alves AC, Oliveira CH, Carreiro LRR, Becker N. Introdução à neuroanatomia e à neurofisiologia. Cadernos de Pós-Graduação em Distúrbios do Desenvolvimento (São Paulo). 2022;22(2):84-107.</w:t>
      </w:r>
    </w:p>
    <w:p w14:paraId="209902B0"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Lopes JMC. Fisiopatologia da dor. 1. ed. Porto, Portugal: Permanyer Portugal; 2003.</w:t>
      </w:r>
    </w:p>
    <w:p w14:paraId="2908E0F9"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lastRenderedPageBreak/>
        <w:t>Dodson SC, Koontz NA. Spinal manifestations of systemic disease. Radiol Clin North Am. 2019;57(2):281-306.</w:t>
      </w:r>
    </w:p>
    <w:p w14:paraId="54AB6B6D"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Greenland J, Barker RA. The differential diagnosis of Parkinson’s disease. In: Stoker TB, Greenland JC, editors. Parkinson’s disease: pathogenesis and clinical aspects. Brisbane (AU): Codon Publications; 2018.</w:t>
      </w:r>
    </w:p>
    <w:p w14:paraId="4F450C90"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Colela ACM. Diagnóstico diferencial do AVC (acidente vascular cerebral) pela propedêutica clínica [dissertação]. São Paulo: Escola Paulista de Medicina, Universidade Federal de São Paulo; 2016. 96 f.</w:t>
      </w:r>
    </w:p>
    <w:p w14:paraId="26FFD398"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Kim HJ, Tetreault LA, Massicotte EM, Arnold PM, Skelly AC, Brodt ED, Riew KD. Differential diagnosis for cervical spondylotic myelopathy: literature review. Spine (Phila Pa 1976). 2013;38(22 Suppl 1):S78-88.</w:t>
      </w:r>
    </w:p>
    <w:p w14:paraId="3F653B8C"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Radu AS. Hérnia discal. In: Natour J, editor. Coluna vertebral: conhecimentos básicos. São Paulo: Etcetera Editora; 2004.</w:t>
      </w:r>
    </w:p>
    <w:p w14:paraId="29AA2EB8"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Radu AS. Síndrome do canal estreito. In: Natour J, editor. Coluna vertebral: conhecimentos básicos. São Paulo: Etcetera Editora; 2004.</w:t>
      </w:r>
    </w:p>
    <w:p w14:paraId="00CF1FEA"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Appel F. Artropatias inflamatórias. In: Natour J, editor. Coluna vertebral: conhecimentos básicos. São Paulo: Etcetera Editora; 2004.</w:t>
      </w:r>
    </w:p>
    <w:p w14:paraId="25080A08"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AOSpine. Classificação das lesões traumáticas vertebrais. Programa de Formação Contínua. Disponível em: </w:t>
      </w:r>
      <w:hyperlink r:id="rId5" w:history="1">
        <w:r w:rsidRPr="001E088F">
          <w:rPr>
            <w:rFonts w:ascii="Times New Roman" w:eastAsia="Times New Roman" w:hAnsi="Times New Roman" w:cs="Times New Roman"/>
            <w:color w:val="0000FF"/>
            <w:kern w:val="0"/>
            <w:u w:val="single"/>
            <w14:ligatures w14:val="none"/>
          </w:rPr>
          <w:t>https://www.aolatam.org/ftp/edudatabase/open-files/aos_da_n1m3t3_sadao_prt.pdf</w:t>
        </w:r>
      </w:hyperlink>
    </w:p>
    <w:p w14:paraId="4075AD53"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Orguc S, Arkun R. Primary tumors of the spine. Semin Musculoskelet Radiol. 2014;18(3):280-99.</w:t>
      </w:r>
    </w:p>
    <w:p w14:paraId="7D871504"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Greenberg MS. Manual de neurocirurgia. 7. ed. Porto Alegre: Artmed; 2013.</w:t>
      </w:r>
    </w:p>
    <w:p w14:paraId="423E241A"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Travers BS, Benjamin K-TT, Barton JL. Multiple sclerosis: diagnosis, disease-modifying therapy and prognosis. Aust J Gen Pract. 2022;51(4):199-206.</w:t>
      </w:r>
    </w:p>
    <w:p w14:paraId="64FBD7A1"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Sivadasan A. Peripheral nervous system and neuromuscular disorders in theemergency department: a review. Acad Emerg Med. 2024;31:386-97.</w:t>
      </w:r>
    </w:p>
    <w:p w14:paraId="2C8C21B1"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Natour J. Coluna vertebral: conhecimentos básicos. 2. ed. São Paulo: Etcetera Editora; 2004.</w:t>
      </w:r>
    </w:p>
    <w:p w14:paraId="16F553DA" w14:textId="77777777"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Santos RP, Fernandes RCL. Exame neurológico essencial baseado em evidências. Brazilian Journal of Development. 2021;7(12):117286-301.</w:t>
      </w:r>
    </w:p>
    <w:p w14:paraId="144F2462" w14:textId="15D25F04" w:rsidR="001E088F" w:rsidRPr="001E088F" w:rsidRDefault="001E088F" w:rsidP="001E088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color w:val="000000"/>
          <w:kern w:val="0"/>
          <w14:ligatures w14:val="none"/>
        </w:rPr>
        <w:t>Cecin HA. Diretriz I: fundamentos do diagnóstico das doenças da coluna vertebral lombar. Rev Bras Reumatol. 2008;48 Suppl 1:3-7.</w:t>
      </w:r>
    </w:p>
    <w:p w14:paraId="3B336DB6" w14:textId="77777777" w:rsidR="001E088F" w:rsidRPr="001E088F" w:rsidRDefault="002B3C60" w:rsidP="001E088F">
      <w:pPr>
        <w:spacing w:after="0" w:line="240" w:lineRule="auto"/>
        <w:rPr>
          <w:rFonts w:ascii="Times New Roman" w:eastAsia="Times New Roman" w:hAnsi="Times New Roman" w:cs="Times New Roman"/>
          <w:kern w:val="0"/>
          <w14:ligatures w14:val="none"/>
        </w:rPr>
      </w:pPr>
      <w:r w:rsidRPr="002B3C60">
        <w:rPr>
          <w:rFonts w:ascii="Times New Roman" w:eastAsia="Times New Roman" w:hAnsi="Times New Roman" w:cs="Times New Roman"/>
          <w:noProof/>
          <w:kern w:val="0"/>
        </w:rPr>
        <w:pict w14:anchorId="23A637D7">
          <v:rect id="_x0000_i1026" alt="" style="width:468pt;height:.05pt;mso-width-percent:0;mso-height-percent:0;mso-width-percent:0;mso-height-percent:0" o:hralign="center" o:hrstd="t" o:hr="t" fillcolor="#a0a0a0" stroked="f"/>
        </w:pict>
      </w:r>
    </w:p>
    <w:p w14:paraId="3F04BC1B" w14:textId="77777777" w:rsidR="001E088F" w:rsidRPr="001E088F" w:rsidRDefault="001E088F" w:rsidP="001E088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E088F">
        <w:rPr>
          <w:rFonts w:ascii="Times New Roman" w:eastAsia="Times New Roman" w:hAnsi="Times New Roman" w:cs="Times New Roman"/>
          <w:b/>
          <w:bCs/>
          <w:color w:val="000000"/>
          <w:kern w:val="36"/>
          <w:sz w:val="48"/>
          <w:szCs w:val="48"/>
          <w14:ligatures w14:val="none"/>
        </w:rPr>
        <w:t>Metadados para publicação</w:t>
      </w:r>
    </w:p>
    <w:p w14:paraId="33B11B3F"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b/>
          <w:bCs/>
          <w:color w:val="000000"/>
          <w:kern w:val="0"/>
          <w14:ligatures w14:val="none"/>
        </w:rPr>
        <w:t>Título SEO:</w:t>
      </w:r>
      <w:r w:rsidRPr="001E088F">
        <w:rPr>
          <w:rFonts w:ascii="Times New Roman" w:eastAsia="Times New Roman" w:hAnsi="Times New Roman" w:cs="Times New Roman"/>
          <w:color w:val="000000"/>
          <w:kern w:val="0"/>
          <w14:ligatures w14:val="none"/>
        </w:rPr>
        <w:t> Diagnóstico diferencial: coluna e doenças neurológicas</w:t>
      </w:r>
    </w:p>
    <w:p w14:paraId="2C6F05A5"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b/>
          <w:bCs/>
          <w:color w:val="000000"/>
          <w:kern w:val="0"/>
          <w14:ligatures w14:val="none"/>
        </w:rPr>
        <w:t>Meta descrição:</w:t>
      </w:r>
      <w:r w:rsidRPr="001E088F">
        <w:rPr>
          <w:rFonts w:ascii="Times New Roman" w:eastAsia="Times New Roman" w:hAnsi="Times New Roman" w:cs="Times New Roman"/>
          <w:color w:val="000000"/>
          <w:kern w:val="0"/>
          <w14:ligatures w14:val="none"/>
        </w:rPr>
        <w:t> Aprenda a diferenciar doenças da coluna de condições neurológicas por meio da história clínica, exame físico, imagem, ENMG, potenciais evocados e LCR.</w:t>
      </w:r>
    </w:p>
    <w:p w14:paraId="3A3868E7"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b/>
          <w:bCs/>
          <w:color w:val="000000"/>
          <w:kern w:val="0"/>
          <w14:ligatures w14:val="none"/>
        </w:rPr>
        <w:lastRenderedPageBreak/>
        <w:t>Resumo de chamada:</w:t>
      </w:r>
      <w:r w:rsidRPr="001E088F">
        <w:rPr>
          <w:rFonts w:ascii="Times New Roman" w:eastAsia="Times New Roman" w:hAnsi="Times New Roman" w:cs="Times New Roman"/>
          <w:color w:val="000000"/>
          <w:kern w:val="0"/>
          <w14:ligatures w14:val="none"/>
        </w:rPr>
        <w:t> Raciocínio clínico para distinguir compressões vertebrais de doenças neurológicas, reconhecer sinais de alerta e selecionar exames complementares de forma direcionada.</w:t>
      </w:r>
    </w:p>
    <w:p w14:paraId="211D3738" w14:textId="77777777" w:rsidR="001E088F" w:rsidRPr="001E088F" w:rsidRDefault="001E088F" w:rsidP="001E088F">
      <w:pPr>
        <w:spacing w:before="100" w:beforeAutospacing="1" w:after="100" w:afterAutospacing="1" w:line="240" w:lineRule="auto"/>
        <w:rPr>
          <w:rFonts w:ascii="Times New Roman" w:eastAsia="Times New Roman" w:hAnsi="Times New Roman" w:cs="Times New Roman"/>
          <w:color w:val="000000"/>
          <w:kern w:val="0"/>
          <w14:ligatures w14:val="none"/>
        </w:rPr>
      </w:pPr>
      <w:r w:rsidRPr="001E088F">
        <w:rPr>
          <w:rFonts w:ascii="Times New Roman" w:eastAsia="Times New Roman" w:hAnsi="Times New Roman" w:cs="Times New Roman"/>
          <w:b/>
          <w:bCs/>
          <w:color w:val="000000"/>
          <w:kern w:val="0"/>
          <w14:ligatures w14:val="none"/>
        </w:rPr>
        <w:t>Sugestão de slug:</w:t>
      </w:r>
      <w:r w:rsidRPr="001E088F">
        <w:rPr>
          <w:rFonts w:ascii="Times New Roman" w:eastAsia="Times New Roman" w:hAnsi="Times New Roman" w:cs="Times New Roman"/>
          <w:color w:val="000000"/>
          <w:kern w:val="0"/>
          <w14:ligatures w14:val="none"/>
        </w:rPr>
        <w:t> </w:t>
      </w:r>
      <w:r w:rsidRPr="001E088F">
        <w:rPr>
          <w:rFonts w:ascii="Courier New" w:eastAsia="Times New Roman" w:hAnsi="Courier New" w:cs="Courier New"/>
          <w:color w:val="000000"/>
          <w:kern w:val="0"/>
          <w:sz w:val="20"/>
          <w:szCs w:val="20"/>
          <w14:ligatures w14:val="none"/>
        </w:rPr>
        <w:t>diagnostico-diferencial-coluna-doencas-neurologicas</w:t>
      </w:r>
    </w:p>
    <w:p w14:paraId="78DC15E3" w14:textId="77777777" w:rsidR="001E088F" w:rsidRPr="001E088F" w:rsidRDefault="002B3C60" w:rsidP="001E088F">
      <w:pPr>
        <w:spacing w:after="0" w:line="240" w:lineRule="auto"/>
        <w:rPr>
          <w:rFonts w:ascii="Times New Roman" w:eastAsia="Times New Roman" w:hAnsi="Times New Roman" w:cs="Times New Roman"/>
          <w:kern w:val="0"/>
          <w14:ligatures w14:val="none"/>
        </w:rPr>
      </w:pPr>
      <w:r w:rsidRPr="002B3C60">
        <w:rPr>
          <w:rFonts w:ascii="Times New Roman" w:eastAsia="Times New Roman" w:hAnsi="Times New Roman" w:cs="Times New Roman"/>
          <w:noProof/>
          <w:kern w:val="0"/>
        </w:rPr>
        <w:pict w14:anchorId="67847EB5">
          <v:rect id="_x0000_i1025" style="width:0;height:1.5pt" o:hralign="center" o:hrstd="t" o:hr="t" fillcolor="#a0a0a0" stroked="f"/>
        </w:pict>
      </w:r>
    </w:p>
    <w:p w14:paraId="430125C2" w14:textId="77777777" w:rsidR="001E088F" w:rsidRDefault="001E088F"/>
    <w:sectPr w:rsidR="001E08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E43BC1"/>
    <w:multiLevelType w:val="multilevel"/>
    <w:tmpl w:val="287C7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2B18B1"/>
    <w:multiLevelType w:val="multilevel"/>
    <w:tmpl w:val="C2A82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0012E1"/>
    <w:multiLevelType w:val="multilevel"/>
    <w:tmpl w:val="CEEE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8124F"/>
    <w:multiLevelType w:val="multilevel"/>
    <w:tmpl w:val="0B2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907280">
    <w:abstractNumId w:val="3"/>
  </w:num>
  <w:num w:numId="2" w16cid:durableId="208885010">
    <w:abstractNumId w:val="0"/>
  </w:num>
  <w:num w:numId="3" w16cid:durableId="819923719">
    <w:abstractNumId w:val="2"/>
  </w:num>
  <w:num w:numId="4" w16cid:durableId="75316879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88F"/>
    <w:rsid w:val="001E088F"/>
    <w:rsid w:val="002B3C60"/>
    <w:rsid w:val="006F6E99"/>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C4122"/>
  <w15:chartTrackingRefBased/>
  <w15:docId w15:val="{88AD4618-88B1-AE4F-805F-3C5FB1B11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0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0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0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0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88F"/>
    <w:rPr>
      <w:rFonts w:eastAsiaTheme="majorEastAsia" w:cstheme="majorBidi"/>
      <w:color w:val="272727" w:themeColor="text1" w:themeTint="D8"/>
    </w:rPr>
  </w:style>
  <w:style w:type="paragraph" w:styleId="Title">
    <w:name w:val="Title"/>
    <w:basedOn w:val="Normal"/>
    <w:next w:val="Normal"/>
    <w:link w:val="TitleChar"/>
    <w:uiPriority w:val="10"/>
    <w:qFormat/>
    <w:rsid w:val="001E0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88F"/>
    <w:pPr>
      <w:spacing w:before="160"/>
      <w:jc w:val="center"/>
    </w:pPr>
    <w:rPr>
      <w:i/>
      <w:iCs/>
      <w:color w:val="404040" w:themeColor="text1" w:themeTint="BF"/>
    </w:rPr>
  </w:style>
  <w:style w:type="character" w:customStyle="1" w:styleId="QuoteChar">
    <w:name w:val="Quote Char"/>
    <w:basedOn w:val="DefaultParagraphFont"/>
    <w:link w:val="Quote"/>
    <w:uiPriority w:val="29"/>
    <w:rsid w:val="001E088F"/>
    <w:rPr>
      <w:i/>
      <w:iCs/>
      <w:color w:val="404040" w:themeColor="text1" w:themeTint="BF"/>
    </w:rPr>
  </w:style>
  <w:style w:type="paragraph" w:styleId="ListParagraph">
    <w:name w:val="List Paragraph"/>
    <w:basedOn w:val="Normal"/>
    <w:uiPriority w:val="34"/>
    <w:qFormat/>
    <w:rsid w:val="001E088F"/>
    <w:pPr>
      <w:ind w:left="720"/>
      <w:contextualSpacing/>
    </w:pPr>
  </w:style>
  <w:style w:type="character" w:styleId="IntenseEmphasis">
    <w:name w:val="Intense Emphasis"/>
    <w:basedOn w:val="DefaultParagraphFont"/>
    <w:uiPriority w:val="21"/>
    <w:qFormat/>
    <w:rsid w:val="001E088F"/>
    <w:rPr>
      <w:i/>
      <w:iCs/>
      <w:color w:val="0F4761" w:themeColor="accent1" w:themeShade="BF"/>
    </w:rPr>
  </w:style>
  <w:style w:type="paragraph" w:styleId="IntenseQuote">
    <w:name w:val="Intense Quote"/>
    <w:basedOn w:val="Normal"/>
    <w:next w:val="Normal"/>
    <w:link w:val="IntenseQuoteChar"/>
    <w:uiPriority w:val="30"/>
    <w:qFormat/>
    <w:rsid w:val="001E0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88F"/>
    <w:rPr>
      <w:i/>
      <w:iCs/>
      <w:color w:val="0F4761" w:themeColor="accent1" w:themeShade="BF"/>
    </w:rPr>
  </w:style>
  <w:style w:type="character" w:styleId="IntenseReference">
    <w:name w:val="Intense Reference"/>
    <w:basedOn w:val="DefaultParagraphFont"/>
    <w:uiPriority w:val="32"/>
    <w:qFormat/>
    <w:rsid w:val="001E088F"/>
    <w:rPr>
      <w:b/>
      <w:bCs/>
      <w:smallCaps/>
      <w:color w:val="0F4761" w:themeColor="accent1" w:themeShade="BF"/>
      <w:spacing w:val="5"/>
    </w:rPr>
  </w:style>
  <w:style w:type="paragraph" w:styleId="NormalWeb">
    <w:name w:val="Normal (Web)"/>
    <w:basedOn w:val="Normal"/>
    <w:uiPriority w:val="99"/>
    <w:semiHidden/>
    <w:unhideWhenUsed/>
    <w:rsid w:val="001E08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088F"/>
    <w:rPr>
      <w:b/>
      <w:bCs/>
    </w:rPr>
  </w:style>
  <w:style w:type="character" w:customStyle="1" w:styleId="apple-converted-space">
    <w:name w:val="apple-converted-space"/>
    <w:basedOn w:val="DefaultParagraphFont"/>
    <w:rsid w:val="001E088F"/>
  </w:style>
  <w:style w:type="character" w:styleId="Hyperlink">
    <w:name w:val="Hyperlink"/>
    <w:basedOn w:val="DefaultParagraphFont"/>
    <w:uiPriority w:val="99"/>
    <w:semiHidden/>
    <w:unhideWhenUsed/>
    <w:rsid w:val="001E088F"/>
    <w:rPr>
      <w:color w:val="0000FF"/>
      <w:u w:val="single"/>
    </w:rPr>
  </w:style>
  <w:style w:type="character" w:styleId="HTMLCode">
    <w:name w:val="HTML Code"/>
    <w:basedOn w:val="DefaultParagraphFont"/>
    <w:uiPriority w:val="99"/>
    <w:semiHidden/>
    <w:unhideWhenUsed/>
    <w:rsid w:val="001E08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olatam.org/ftp/edudatabase/open-files/aos_da_n1m3t3_sadao_prt.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1845</Words>
  <Characters>11889</Characters>
  <Application>Microsoft Office Word</Application>
  <DocSecurity>0</DocSecurity>
  <Lines>224</Lines>
  <Paragraphs>99</Paragraphs>
  <ScaleCrop>false</ScaleCrop>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2026-08-19T16:26:00Z</dcterms:created>
  <dcterms:modified xsi:type="dcterms:W3CDTF">2026-08-19T16:31:00Z</dcterms:modified>
</cp:coreProperties>
</file>